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sz w:val="44"/>
          <w:szCs w:val="44"/>
        </w:rPr>
      </w:pPr>
    </w:p>
    <w:p>
      <w:pPr>
        <w:rPr>
          <w:rFonts w:asciiTheme="minorEastAsia" w:hAnsiTheme="minorEastAsia" w:cstheme="minorEastAsia"/>
          <w:sz w:val="44"/>
          <w:szCs w:val="44"/>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0" w:firstLineChars="0"/>
        <w:jc w:val="center"/>
        <w:textAlignment w:val="auto"/>
        <w:outlineLvl w:val="9"/>
        <w:rPr>
          <w:rFonts w:hint="eastAsia" w:asciiTheme="majorEastAsia" w:hAnsiTheme="majorEastAsia" w:eastAsiaTheme="majorEastAsia" w:cstheme="majorEastAsia"/>
          <w:i w:val="0"/>
          <w:caps w:val="0"/>
          <w:color w:val="auto"/>
          <w:spacing w:val="0"/>
          <w:sz w:val="44"/>
          <w:szCs w:val="44"/>
        </w:rPr>
      </w:pPr>
      <w:bookmarkStart w:id="0" w:name="_GoBack"/>
      <w:r>
        <w:rPr>
          <w:rFonts w:hint="eastAsia" w:asciiTheme="majorEastAsia" w:hAnsiTheme="majorEastAsia" w:eastAsiaTheme="majorEastAsia" w:cstheme="majorEastAsia"/>
          <w:i w:val="0"/>
          <w:caps w:val="0"/>
          <w:color w:val="auto"/>
          <w:spacing w:val="0"/>
          <w:sz w:val="44"/>
          <w:szCs w:val="44"/>
        </w:rPr>
        <w:t>上海东方枢纽国际商务合作区管理办法</w:t>
      </w:r>
      <w:bookmarkEnd w:id="0"/>
    </w:p>
    <w:p>
      <w:pPr>
        <w:keepNext w:val="0"/>
        <w:keepLines w:val="0"/>
        <w:pageBreakBefore w:val="0"/>
        <w:widowControl w:val="0"/>
        <w:suppressLineNumbers w:val="0"/>
        <w:suppressAutoHyphens/>
        <w:kinsoku/>
        <w:wordWrap/>
        <w:overflowPunct/>
        <w:topLinePunct w:val="0"/>
        <w:bidi w:val="0"/>
        <w:spacing w:before="0" w:beforeAutospacing="0" w:after="0" w:afterAutospacing="0" w:line="560" w:lineRule="exact"/>
        <w:ind w:left="0" w:right="-2"/>
        <w:jc w:val="center"/>
        <w:textAlignment w:val="auto"/>
        <w:rPr>
          <w:rFonts w:hint="eastAsia" w:ascii="楷体_GB2312" w:hAnsi="Times New Roman" w:eastAsia="楷体_GB2312" w:cs="CESI楷体-GB2312"/>
          <w:kern w:val="0"/>
          <w:sz w:val="32"/>
          <w:szCs w:val="32"/>
          <w:lang w:val="en-US" w:eastAsia="zh-CN" w:bidi="ar"/>
        </w:rPr>
      </w:pPr>
      <w:r>
        <w:rPr>
          <w:rFonts w:hint="eastAsia" w:ascii="楷体_GB2312" w:hAnsi="楷体_GB2312" w:eastAsia="楷体_GB2312" w:cs="楷体_GB2312"/>
          <w:i w:val="0"/>
          <w:caps w:val="0"/>
          <w:color w:val="auto"/>
          <w:spacing w:val="0"/>
          <w:kern w:val="0"/>
          <w:sz w:val="32"/>
          <w:szCs w:val="32"/>
          <w:lang w:val="en-US" w:eastAsia="zh-CN" w:bidi="ar"/>
        </w:rPr>
        <w:t>（</w:t>
      </w:r>
      <w:r>
        <w:rPr>
          <w:rFonts w:hint="eastAsia" w:ascii="楷体_GB2312" w:hAnsi="Times New Roman" w:eastAsia="楷体_GB2312" w:cs="CESI楷体-GB2312"/>
          <w:kern w:val="0"/>
          <w:sz w:val="32"/>
          <w:szCs w:val="32"/>
          <w:lang w:val="en-US" w:eastAsia="zh-CN" w:bidi="ar"/>
        </w:rPr>
        <w:t>2025年7月1日上海市人民政府令第22号公布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0" w:firstLineChars="0"/>
        <w:jc w:val="center"/>
        <w:textAlignment w:val="auto"/>
        <w:outlineLvl w:val="9"/>
        <w:rPr>
          <w:rFonts w:hint="eastAsia" w:ascii="楷体_GB2312" w:hAnsi="楷体_GB2312" w:eastAsia="楷体_GB2312" w:cs="楷体_GB2312"/>
          <w:i w:val="0"/>
          <w:caps w:val="0"/>
          <w:color w:val="auto"/>
          <w:spacing w:val="0"/>
          <w:sz w:val="32"/>
          <w:szCs w:val="32"/>
        </w:rPr>
      </w:pPr>
      <w:r>
        <w:rPr>
          <w:rFonts w:hint="eastAsia" w:ascii="楷体_GB2312" w:hAnsi="Times New Roman" w:eastAsia="楷体_GB2312" w:cs="CESI楷体-GB2312"/>
          <w:kern w:val="0"/>
          <w:sz w:val="32"/>
          <w:szCs w:val="32"/>
          <w:lang w:val="en-US" w:eastAsia="zh-CN" w:bidi="ar"/>
        </w:rPr>
        <w:t>自2025年8月1日起施行</w:t>
      </w:r>
      <w:r>
        <w:rPr>
          <w:rFonts w:hint="eastAsia" w:ascii="楷体_GB2312" w:hAnsi="楷体_GB2312" w:eastAsia="楷体_GB2312" w:cs="楷体_GB2312"/>
          <w:i w:val="0"/>
          <w:caps w:val="0"/>
          <w:color w:val="auto"/>
          <w:spacing w:val="0"/>
          <w:kern w:val="0"/>
          <w:sz w:val="32"/>
          <w:szCs w:val="32"/>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560" w:lineRule="exact"/>
        <w:ind w:left="0" w:right="0" w:firstLine="643" w:firstLineChars="200"/>
        <w:jc w:val="center"/>
        <w:textAlignment w:val="auto"/>
        <w:outlineLvl w:val="9"/>
        <w:rPr>
          <w:rStyle w:val="11"/>
          <w:rFonts w:hint="eastAsia" w:ascii="仿宋_GB2312" w:hAnsi="仿宋_GB2312" w:eastAsia="仿宋_GB2312" w:cs="仿宋_GB2312"/>
          <w:i w:val="0"/>
          <w:caps w:val="0"/>
          <w:color w:val="auto"/>
          <w:spacing w:val="0"/>
          <w:kern w:val="0"/>
          <w:sz w:val="32"/>
          <w:szCs w:val="32"/>
          <w:lang w:val="en-US" w:eastAsia="zh-CN" w:bidi="ar"/>
        </w:rPr>
      </w:pPr>
    </w:p>
    <w:p>
      <w:pPr>
        <w:adjustRightInd w:val="0"/>
        <w:snapToGrid w:val="0"/>
        <w:spacing w:line="560" w:lineRule="exact"/>
        <w:jc w:val="center"/>
        <w:rPr>
          <w:rFonts w:ascii="仿宋_GB2312" w:hAnsi="Calibri" w:eastAsia="仿宋_GB2312"/>
          <w:sz w:val="32"/>
          <w:szCs w:val="32"/>
        </w:rPr>
      </w:pPr>
      <w:r>
        <w:rPr>
          <w:rFonts w:hint="eastAsia" w:ascii="黑体" w:hAnsi="黑体" w:eastAsia="黑体"/>
          <w:sz w:val="32"/>
          <w:szCs w:val="32"/>
        </w:rPr>
        <w:t>第一章 总</w:t>
      </w:r>
      <w:r>
        <w:rPr>
          <w:rFonts w:hint="eastAsia" w:ascii="黑体" w:hAnsi="黑体" w:eastAsia="黑体"/>
          <w:sz w:val="32"/>
          <w:szCs w:val="32"/>
          <w:lang w:val="en-US" w:eastAsia="zh-CN"/>
        </w:rPr>
        <w:t xml:space="preserve">  </w:t>
      </w:r>
      <w:r>
        <w:rPr>
          <w:rFonts w:hint="eastAsia" w:ascii="黑体" w:hAnsi="黑体" w:eastAsia="黑体"/>
          <w:sz w:val="32"/>
          <w:szCs w:val="32"/>
        </w:rPr>
        <w:t>则</w:t>
      </w:r>
    </w:p>
    <w:p>
      <w:pPr>
        <w:adjustRightInd w:val="0"/>
        <w:snapToGrid w:val="0"/>
        <w:spacing w:line="560" w:lineRule="exact"/>
        <w:ind w:firstLine="640" w:firstLineChars="200"/>
        <w:rPr>
          <w:rFonts w:ascii="仿宋_GB2312" w:hAnsi="Calibri" w:eastAsia="仿宋_GB2312"/>
          <w:sz w:val="32"/>
          <w:szCs w:val="32"/>
        </w:rPr>
      </w:pPr>
    </w:p>
    <w:p>
      <w:pPr>
        <w:adjustRightInd w:val="0"/>
        <w:snapToGrid w:val="0"/>
        <w:spacing w:line="560" w:lineRule="exact"/>
        <w:ind w:firstLine="640" w:firstLineChars="200"/>
        <w:rPr>
          <w:rFonts w:ascii="仿宋_GB2312" w:hAnsi="Calibri" w:eastAsia="仿宋_GB2312"/>
          <w:sz w:val="32"/>
          <w:szCs w:val="32"/>
        </w:rPr>
      </w:pPr>
      <w:r>
        <w:rPr>
          <w:rFonts w:hint="eastAsia" w:ascii="黑体" w:hAnsi="黑体" w:eastAsia="黑体"/>
          <w:sz w:val="32"/>
          <w:szCs w:val="32"/>
        </w:rPr>
        <w:t>第一条</w:t>
      </w:r>
      <w:r>
        <w:rPr>
          <w:rFonts w:hint="eastAsia" w:ascii="仿宋_GB2312" w:hAnsi="Calibri" w:eastAsia="仿宋_GB2312"/>
          <w:sz w:val="32"/>
          <w:szCs w:val="32"/>
        </w:rPr>
        <w:t>（目的和依据）</w:t>
      </w:r>
    </w:p>
    <w:p>
      <w:pPr>
        <w:adjustRightInd w:val="0"/>
        <w:snapToGrid w:val="0"/>
        <w:spacing w:line="560" w:lineRule="exact"/>
        <w:ind w:firstLine="640" w:firstLineChars="200"/>
        <w:rPr>
          <w:rFonts w:ascii="仿宋_GB2312" w:hAnsi="Calibri" w:eastAsia="仿宋_GB2312"/>
          <w:sz w:val="32"/>
          <w:szCs w:val="32"/>
        </w:rPr>
      </w:pPr>
      <w:r>
        <w:rPr>
          <w:rFonts w:hint="eastAsia" w:ascii="仿宋_GB2312" w:hAnsi="Calibri" w:eastAsia="仿宋_GB2312"/>
          <w:sz w:val="32"/>
          <w:szCs w:val="32"/>
        </w:rPr>
        <w:t>为了推进上海东方枢纽国际商务合作区建设，实现高质量发展，服务高水平对外开放国家战略，根据国务院批准的《上海东方枢纽国际商务合作区建设总体方案》和有关法律法规，制定本办法。</w:t>
      </w:r>
    </w:p>
    <w:p>
      <w:pPr>
        <w:adjustRightInd w:val="0"/>
        <w:snapToGrid w:val="0"/>
        <w:spacing w:line="560" w:lineRule="exact"/>
        <w:ind w:firstLine="640" w:firstLineChars="200"/>
        <w:rPr>
          <w:rFonts w:ascii="仿宋_GB2312" w:hAnsi="Calibri" w:eastAsia="仿宋_GB2312"/>
          <w:sz w:val="32"/>
          <w:szCs w:val="32"/>
        </w:rPr>
      </w:pPr>
      <w:r>
        <w:rPr>
          <w:rFonts w:hint="eastAsia" w:ascii="黑体" w:hAnsi="黑体" w:eastAsia="黑体"/>
          <w:sz w:val="32"/>
          <w:szCs w:val="32"/>
        </w:rPr>
        <w:t>第二条</w:t>
      </w:r>
      <w:r>
        <w:rPr>
          <w:rFonts w:hint="eastAsia" w:ascii="仿宋_GB2312" w:hAnsi="Calibri" w:eastAsia="仿宋_GB2312"/>
          <w:sz w:val="32"/>
          <w:szCs w:val="32"/>
        </w:rPr>
        <w:t>（适用范围）</w:t>
      </w:r>
    </w:p>
    <w:p>
      <w:pPr>
        <w:adjustRightInd w:val="0"/>
        <w:snapToGrid w:val="0"/>
        <w:spacing w:line="560" w:lineRule="exact"/>
        <w:ind w:firstLine="640" w:firstLineChars="200"/>
        <w:rPr>
          <w:rFonts w:ascii="仿宋_GB2312" w:hAnsi="Calibri" w:eastAsia="仿宋_GB2312"/>
          <w:sz w:val="32"/>
          <w:szCs w:val="32"/>
        </w:rPr>
      </w:pPr>
      <w:r>
        <w:rPr>
          <w:rFonts w:hint="eastAsia" w:ascii="仿宋_GB2312" w:hAnsi="Calibri" w:eastAsia="仿宋_GB2312"/>
          <w:sz w:val="32"/>
          <w:szCs w:val="32"/>
        </w:rPr>
        <w:t>本办法适用于经国务院批准设立的上海东方枢纽国际商务合作区（以下简称商务合作区）。</w:t>
      </w:r>
    </w:p>
    <w:p>
      <w:pPr>
        <w:adjustRightInd w:val="0"/>
        <w:snapToGrid w:val="0"/>
        <w:spacing w:line="560" w:lineRule="exact"/>
        <w:ind w:firstLine="640" w:firstLineChars="200"/>
        <w:rPr>
          <w:rFonts w:hint="eastAsia" w:ascii="仿宋_GB2312" w:hAnsi="Calibri" w:eastAsia="仿宋_GB2312"/>
          <w:sz w:val="32"/>
          <w:szCs w:val="32"/>
        </w:rPr>
      </w:pPr>
      <w:r>
        <w:rPr>
          <w:rFonts w:hint="eastAsia" w:ascii="仿宋_GB2312" w:hAnsi="Calibri" w:eastAsia="仿宋_GB2312"/>
          <w:sz w:val="32"/>
          <w:szCs w:val="32"/>
        </w:rPr>
        <w:t>商务合作区按照国家规定，在综合保税区、海关监管区和口岸限定区域管理制度基础上，叠加特定封闭区域人员跨境流动便利化政策措施和商务服务功能。</w:t>
      </w:r>
    </w:p>
    <w:p>
      <w:pPr>
        <w:adjustRightInd w:val="0"/>
        <w:snapToGrid w:val="0"/>
        <w:spacing w:line="560" w:lineRule="exact"/>
        <w:ind w:firstLine="640" w:firstLineChars="200"/>
        <w:rPr>
          <w:rFonts w:ascii="仿宋_GB2312" w:hAnsi="Calibri" w:eastAsia="仿宋_GB2312"/>
          <w:sz w:val="32"/>
          <w:szCs w:val="32"/>
        </w:rPr>
      </w:pPr>
      <w:r>
        <w:rPr>
          <w:rFonts w:hint="eastAsia" w:ascii="黑体" w:hAnsi="黑体" w:eastAsia="黑体"/>
          <w:sz w:val="32"/>
          <w:szCs w:val="32"/>
        </w:rPr>
        <w:t>第三条</w:t>
      </w:r>
      <w:r>
        <w:rPr>
          <w:rFonts w:hint="eastAsia" w:ascii="仿宋_GB2312" w:hAnsi="Calibri" w:eastAsia="仿宋_GB2312"/>
          <w:sz w:val="32"/>
          <w:szCs w:val="32"/>
        </w:rPr>
        <w:t>（发展定位和目标）</w:t>
      </w:r>
    </w:p>
    <w:p>
      <w:pPr>
        <w:adjustRightInd w:val="0"/>
        <w:snapToGrid w:val="0"/>
        <w:spacing w:line="560" w:lineRule="exact"/>
        <w:ind w:firstLine="640" w:firstLineChars="200"/>
        <w:rPr>
          <w:rFonts w:ascii="仿宋_GB2312" w:hAnsi="Calibri" w:eastAsia="仿宋_GB2312"/>
          <w:sz w:val="32"/>
          <w:szCs w:val="32"/>
        </w:rPr>
      </w:pPr>
      <w:r>
        <w:rPr>
          <w:rFonts w:hint="eastAsia" w:ascii="仿宋_GB2312" w:hAnsi="Calibri" w:eastAsia="仿宋_GB2312"/>
          <w:sz w:val="32"/>
          <w:szCs w:val="32"/>
        </w:rPr>
        <w:t>商务合作区建设应当以便利国际商务交流的新平台、服务资源要素汇聚的新载体、推动长三角一体化发展的新节点为发展定位，实现区域跨境交往便利、国际商务活动活跃、创新要素资源集聚、专业服务能力领先、配套设施完备的功能目标。</w:t>
      </w:r>
    </w:p>
    <w:p>
      <w:pPr>
        <w:adjustRightInd w:val="0"/>
        <w:snapToGrid w:val="0"/>
        <w:spacing w:line="560" w:lineRule="exact"/>
        <w:ind w:firstLine="640" w:firstLineChars="200"/>
        <w:rPr>
          <w:rFonts w:ascii="仿宋_GB2312" w:hAnsi="Calibri" w:eastAsia="仿宋_GB2312"/>
          <w:sz w:val="32"/>
          <w:szCs w:val="32"/>
        </w:rPr>
      </w:pPr>
      <w:r>
        <w:rPr>
          <w:rFonts w:hint="eastAsia" w:ascii="黑体" w:hAnsi="黑体" w:eastAsia="黑体"/>
          <w:sz w:val="32"/>
          <w:szCs w:val="32"/>
        </w:rPr>
        <w:t>第四条</w:t>
      </w:r>
      <w:r>
        <w:rPr>
          <w:rFonts w:hint="eastAsia" w:ascii="仿宋_GB2312" w:hAnsi="Calibri" w:eastAsia="仿宋_GB2312"/>
          <w:sz w:val="32"/>
          <w:szCs w:val="32"/>
        </w:rPr>
        <w:t>（制度保障）</w:t>
      </w:r>
    </w:p>
    <w:p>
      <w:pPr>
        <w:adjustRightInd w:val="0"/>
        <w:snapToGrid w:val="0"/>
        <w:spacing w:line="560" w:lineRule="exact"/>
        <w:ind w:firstLine="640" w:firstLineChars="200"/>
        <w:rPr>
          <w:rFonts w:ascii="仿宋_GB2312" w:hAnsi="Calibri" w:eastAsia="仿宋_GB2312"/>
          <w:sz w:val="32"/>
          <w:szCs w:val="32"/>
        </w:rPr>
      </w:pPr>
      <w:r>
        <w:rPr>
          <w:rFonts w:hint="eastAsia" w:ascii="仿宋_GB2312" w:hAnsi="Calibri" w:eastAsia="仿宋_GB2312"/>
          <w:sz w:val="32"/>
          <w:szCs w:val="32"/>
        </w:rPr>
        <w:t>商务合作区用好中国（上海）自由贸易试验区制度创新成果。</w:t>
      </w:r>
    </w:p>
    <w:p>
      <w:pPr>
        <w:adjustRightInd w:val="0"/>
        <w:snapToGrid w:val="0"/>
        <w:spacing w:line="560" w:lineRule="exact"/>
        <w:ind w:firstLine="640" w:firstLineChars="200"/>
        <w:rPr>
          <w:rFonts w:hint="eastAsia" w:ascii="仿宋_GB2312" w:hAnsi="Calibri" w:eastAsia="仿宋_GB2312"/>
          <w:sz w:val="32"/>
          <w:szCs w:val="32"/>
        </w:rPr>
      </w:pPr>
      <w:r>
        <w:rPr>
          <w:rFonts w:hint="eastAsia" w:ascii="仿宋_GB2312" w:hAnsi="Calibri" w:eastAsia="仿宋_GB2312"/>
          <w:sz w:val="32"/>
          <w:szCs w:val="32"/>
        </w:rPr>
        <w:t>本市地方性法规、政府规章中有关规定不适应商务合作区发展的，商务合作区综合管理机构、市有关部门可以按照程序提出调整或者停止该规定在商务合作区适用的建议。</w:t>
      </w:r>
    </w:p>
    <w:p>
      <w:pPr>
        <w:adjustRightInd w:val="0"/>
        <w:snapToGrid w:val="0"/>
        <w:spacing w:line="560" w:lineRule="exact"/>
        <w:rPr>
          <w:rFonts w:ascii="黑体" w:hAnsi="黑体" w:eastAsia="黑体"/>
          <w:sz w:val="32"/>
          <w:szCs w:val="32"/>
        </w:rPr>
      </w:pPr>
    </w:p>
    <w:p>
      <w:pPr>
        <w:adjustRightInd w:val="0"/>
        <w:snapToGrid w:val="0"/>
        <w:spacing w:line="560" w:lineRule="exact"/>
        <w:jc w:val="center"/>
        <w:rPr>
          <w:rFonts w:ascii="黑体" w:hAnsi="黑体" w:eastAsia="黑体"/>
          <w:sz w:val="32"/>
          <w:szCs w:val="32"/>
        </w:rPr>
      </w:pPr>
      <w:r>
        <w:rPr>
          <w:rFonts w:hint="eastAsia" w:ascii="黑体" w:hAnsi="黑体" w:eastAsia="黑体"/>
          <w:sz w:val="32"/>
          <w:szCs w:val="32"/>
        </w:rPr>
        <w:t>第二章 管理体制</w:t>
      </w:r>
    </w:p>
    <w:p>
      <w:pPr>
        <w:adjustRightInd w:val="0"/>
        <w:snapToGrid w:val="0"/>
        <w:spacing w:line="560" w:lineRule="exact"/>
        <w:ind w:firstLine="640" w:firstLineChars="200"/>
        <w:rPr>
          <w:rFonts w:ascii="仿宋_GB2312" w:hAnsi="Calibri" w:eastAsia="仿宋_GB2312"/>
          <w:sz w:val="32"/>
          <w:szCs w:val="32"/>
        </w:rPr>
      </w:pPr>
    </w:p>
    <w:p>
      <w:pPr>
        <w:adjustRightInd w:val="0"/>
        <w:snapToGrid w:val="0"/>
        <w:spacing w:line="560" w:lineRule="exact"/>
        <w:ind w:firstLine="640" w:firstLineChars="200"/>
        <w:rPr>
          <w:rFonts w:ascii="仿宋_GB2312" w:hAnsi="Calibri" w:eastAsia="仿宋_GB2312"/>
          <w:sz w:val="32"/>
          <w:szCs w:val="32"/>
        </w:rPr>
      </w:pPr>
      <w:r>
        <w:rPr>
          <w:rFonts w:hint="eastAsia" w:ascii="黑体" w:hAnsi="黑体" w:eastAsia="黑体"/>
          <w:sz w:val="32"/>
          <w:szCs w:val="32"/>
        </w:rPr>
        <w:t>第五条</w:t>
      </w:r>
      <w:r>
        <w:rPr>
          <w:rFonts w:hint="eastAsia" w:ascii="仿宋_GB2312" w:hAnsi="Calibri" w:eastAsia="仿宋_GB2312"/>
          <w:sz w:val="32"/>
          <w:szCs w:val="32"/>
        </w:rPr>
        <w:t>（管理机构职责）</w:t>
      </w:r>
    </w:p>
    <w:p>
      <w:pPr>
        <w:adjustRightInd w:val="0"/>
        <w:snapToGrid w:val="0"/>
        <w:spacing w:line="560" w:lineRule="exact"/>
        <w:ind w:firstLine="640" w:firstLineChars="200"/>
        <w:rPr>
          <w:rFonts w:ascii="仿宋_GB2312" w:hAnsi="Calibri" w:eastAsia="仿宋_GB2312"/>
          <w:sz w:val="32"/>
          <w:szCs w:val="32"/>
        </w:rPr>
      </w:pPr>
      <w:r>
        <w:rPr>
          <w:rFonts w:hint="eastAsia" w:ascii="仿宋_GB2312" w:hAnsi="Calibri" w:eastAsia="仿宋_GB2312"/>
          <w:sz w:val="32"/>
          <w:szCs w:val="32"/>
        </w:rPr>
        <w:t>商务合作区综合管理机构负责统筹管理和协调商务合作区有关行政事务，依照本办法履行以下职责：</w:t>
      </w:r>
    </w:p>
    <w:p>
      <w:pPr>
        <w:adjustRightInd w:val="0"/>
        <w:snapToGrid w:val="0"/>
        <w:spacing w:line="560" w:lineRule="exact"/>
        <w:ind w:firstLine="640" w:firstLineChars="200"/>
        <w:rPr>
          <w:rFonts w:ascii="仿宋_GB2312" w:hAnsi="Calibri" w:eastAsia="仿宋_GB2312"/>
          <w:sz w:val="32"/>
          <w:szCs w:val="32"/>
        </w:rPr>
      </w:pPr>
      <w:r>
        <w:rPr>
          <w:rFonts w:hint="eastAsia" w:ascii="仿宋_GB2312" w:hAnsi="Calibri" w:eastAsia="仿宋_GB2312"/>
          <w:sz w:val="32"/>
          <w:szCs w:val="32"/>
        </w:rPr>
        <w:t>（一）负责组织实施区域发展规划和政策措施，制定有关行政管理制度。</w:t>
      </w:r>
    </w:p>
    <w:p>
      <w:pPr>
        <w:adjustRightInd w:val="0"/>
        <w:snapToGrid w:val="0"/>
        <w:spacing w:line="560" w:lineRule="exact"/>
        <w:ind w:firstLine="640" w:firstLineChars="200"/>
        <w:rPr>
          <w:rFonts w:ascii="仿宋_GB2312" w:hAnsi="Calibri" w:eastAsia="仿宋_GB2312"/>
          <w:sz w:val="32"/>
          <w:szCs w:val="32"/>
        </w:rPr>
      </w:pPr>
      <w:r>
        <w:rPr>
          <w:rFonts w:hint="eastAsia" w:ascii="仿宋_GB2312" w:hAnsi="Calibri" w:eastAsia="仿宋_GB2312"/>
          <w:sz w:val="32"/>
          <w:szCs w:val="32"/>
        </w:rPr>
        <w:t>（二）负责开展区内投资、贸易等有关行政管理工作。</w:t>
      </w:r>
    </w:p>
    <w:p>
      <w:pPr>
        <w:adjustRightInd w:val="0"/>
        <w:snapToGrid w:val="0"/>
        <w:spacing w:line="560" w:lineRule="exact"/>
        <w:ind w:firstLine="640" w:firstLineChars="200"/>
        <w:rPr>
          <w:rFonts w:ascii="仿宋_GB2312" w:hAnsi="Calibri" w:eastAsia="仿宋_GB2312"/>
          <w:sz w:val="32"/>
          <w:szCs w:val="32"/>
        </w:rPr>
      </w:pPr>
      <w:r>
        <w:rPr>
          <w:rFonts w:hint="eastAsia" w:ascii="仿宋_GB2312" w:hAnsi="Calibri" w:eastAsia="仿宋_GB2312"/>
          <w:sz w:val="32"/>
          <w:szCs w:val="32"/>
        </w:rPr>
        <w:t>（三）负责境外人员邀请备案和境内人员入区申请相关事宜，统筹协调区内人员、货物、行李物品、车辆的监管工作，并配合提供入区出区确认和安全维护力量。</w:t>
      </w:r>
    </w:p>
    <w:p>
      <w:pPr>
        <w:adjustRightInd w:val="0"/>
        <w:snapToGrid w:val="0"/>
        <w:spacing w:line="560" w:lineRule="exact"/>
        <w:ind w:firstLine="640" w:firstLineChars="200"/>
        <w:rPr>
          <w:rFonts w:ascii="仿宋_GB2312" w:hAnsi="Calibri" w:eastAsia="仿宋_GB2312"/>
          <w:sz w:val="32"/>
          <w:szCs w:val="32"/>
        </w:rPr>
      </w:pPr>
      <w:r>
        <w:rPr>
          <w:rFonts w:hint="eastAsia" w:ascii="仿宋_GB2312" w:hAnsi="Calibri" w:eastAsia="仿宋_GB2312"/>
          <w:sz w:val="32"/>
          <w:szCs w:val="32"/>
        </w:rPr>
        <w:t>（四）统筹本市相关部门在区内的行政管理工作，协调海关、移民管理、民航管理等部门在区内的行政管理工作。</w:t>
      </w:r>
    </w:p>
    <w:p>
      <w:pPr>
        <w:adjustRightInd w:val="0"/>
        <w:snapToGrid w:val="0"/>
        <w:spacing w:line="560" w:lineRule="exact"/>
        <w:ind w:firstLine="640" w:firstLineChars="200"/>
        <w:rPr>
          <w:rFonts w:ascii="仿宋_GB2312" w:hAnsi="Calibri" w:eastAsia="仿宋_GB2312"/>
          <w:sz w:val="32"/>
          <w:szCs w:val="32"/>
        </w:rPr>
      </w:pPr>
      <w:r>
        <w:rPr>
          <w:rFonts w:hint="eastAsia" w:ascii="仿宋_GB2312" w:hAnsi="Calibri" w:eastAsia="仿宋_GB2312"/>
          <w:sz w:val="32"/>
          <w:szCs w:val="32"/>
        </w:rPr>
        <w:t>（五）统筹区内信息共享、信用管理等工作。</w:t>
      </w:r>
    </w:p>
    <w:p>
      <w:pPr>
        <w:adjustRightInd w:val="0"/>
        <w:snapToGrid w:val="0"/>
        <w:spacing w:line="560" w:lineRule="exact"/>
        <w:ind w:firstLine="640" w:firstLineChars="200"/>
        <w:rPr>
          <w:rFonts w:ascii="仿宋_GB2312" w:hAnsi="Calibri" w:eastAsia="仿宋_GB2312"/>
          <w:sz w:val="32"/>
          <w:szCs w:val="32"/>
        </w:rPr>
      </w:pPr>
      <w:r>
        <w:rPr>
          <w:rFonts w:hint="eastAsia" w:ascii="仿宋_GB2312" w:hAnsi="Calibri" w:eastAsia="仿宋_GB2312"/>
          <w:sz w:val="32"/>
          <w:szCs w:val="32"/>
        </w:rPr>
        <w:t>（六）统筹指导区内产业布局、投资促进、功能创新和开发建设活动，协调推进重大投资项目建设。</w:t>
      </w:r>
    </w:p>
    <w:p>
      <w:pPr>
        <w:adjustRightInd w:val="0"/>
        <w:snapToGrid w:val="0"/>
        <w:spacing w:line="560" w:lineRule="exact"/>
        <w:ind w:firstLine="640" w:firstLineChars="200"/>
        <w:rPr>
          <w:rFonts w:ascii="仿宋_GB2312" w:hAnsi="Calibri" w:eastAsia="仿宋_GB2312"/>
          <w:sz w:val="32"/>
          <w:szCs w:val="32"/>
        </w:rPr>
      </w:pPr>
      <w:r>
        <w:rPr>
          <w:rFonts w:hint="eastAsia" w:ascii="仿宋_GB2312" w:hAnsi="Calibri" w:eastAsia="仿宋_GB2312"/>
          <w:sz w:val="32"/>
          <w:szCs w:val="32"/>
        </w:rPr>
        <w:t>（七）发布公共信息，为企业和相关机构提供指导、咨询和服务。</w:t>
      </w:r>
    </w:p>
    <w:p>
      <w:pPr>
        <w:pStyle w:val="5"/>
        <w:spacing w:line="560" w:lineRule="exact"/>
        <w:rPr>
          <w:rFonts w:ascii="仿宋_GB2312" w:hAnsi="Calibri" w:eastAsia="仿宋_GB2312" w:cs="Times New Roman"/>
          <w:snapToGrid/>
          <w:color w:val="auto"/>
          <w:kern w:val="2"/>
          <w:lang w:eastAsia="zh-CN"/>
        </w:rPr>
      </w:pPr>
      <w:r>
        <w:rPr>
          <w:rFonts w:hint="eastAsia" w:ascii="仿宋_GB2312" w:hAnsi="Calibri" w:eastAsia="仿宋_GB2312" w:cs="Times New Roman"/>
          <w:snapToGrid/>
          <w:color w:val="auto"/>
          <w:kern w:val="2"/>
          <w:lang w:eastAsia="zh-CN"/>
        </w:rPr>
        <w:t>（八）市人民政府赋予的其他职责。</w:t>
      </w:r>
    </w:p>
    <w:p>
      <w:pPr>
        <w:pStyle w:val="5"/>
        <w:spacing w:line="560" w:lineRule="exact"/>
        <w:rPr>
          <w:rFonts w:hint="eastAsia" w:ascii="仿宋_GB2312" w:hAnsi="Calibri" w:eastAsia="仿宋_GB2312" w:cs="Times New Roman"/>
          <w:snapToGrid/>
          <w:color w:val="auto"/>
          <w:kern w:val="2"/>
          <w:lang w:eastAsia="zh-CN"/>
        </w:rPr>
      </w:pPr>
      <w:r>
        <w:rPr>
          <w:rFonts w:hint="eastAsia" w:ascii="仿宋_GB2312" w:hAnsi="Calibri" w:eastAsia="仿宋_GB2312" w:cs="Times New Roman"/>
          <w:snapToGrid/>
          <w:color w:val="auto"/>
          <w:kern w:val="2"/>
          <w:lang w:eastAsia="zh-CN"/>
        </w:rPr>
        <w:t>市人民政府在商务合作区建立综合审批、相对集中行政处罚体制和机制，由商务合作区综合管理机构行使本市有关行政审批权和行政处罚权。商务合作区综合管理机构实施行政审批、行政处罚以及相关管理的具体事项，由市人民政府确定并公布。</w:t>
      </w:r>
    </w:p>
    <w:p>
      <w:pPr>
        <w:adjustRightInd w:val="0"/>
        <w:snapToGrid w:val="0"/>
        <w:spacing w:line="560" w:lineRule="exact"/>
        <w:ind w:firstLine="640" w:firstLineChars="200"/>
        <w:rPr>
          <w:rFonts w:ascii="仿宋_GB2312" w:hAnsi="Calibri" w:eastAsia="仿宋_GB2312"/>
          <w:sz w:val="32"/>
          <w:szCs w:val="32"/>
        </w:rPr>
      </w:pPr>
      <w:r>
        <w:rPr>
          <w:rFonts w:hint="eastAsia" w:ascii="黑体" w:hAnsi="黑体" w:eastAsia="黑体"/>
          <w:sz w:val="32"/>
          <w:szCs w:val="32"/>
        </w:rPr>
        <w:t>第六条</w:t>
      </w:r>
      <w:r>
        <w:rPr>
          <w:rFonts w:hint="eastAsia" w:ascii="仿宋_GB2312" w:hAnsi="Calibri" w:eastAsia="仿宋_GB2312"/>
          <w:sz w:val="32"/>
          <w:szCs w:val="32"/>
        </w:rPr>
        <w:t>（其他管理职责）</w:t>
      </w:r>
    </w:p>
    <w:p>
      <w:pPr>
        <w:adjustRightInd w:val="0"/>
        <w:snapToGrid w:val="0"/>
        <w:spacing w:line="560" w:lineRule="exact"/>
        <w:ind w:firstLine="640" w:firstLineChars="200"/>
        <w:rPr>
          <w:rFonts w:hint="eastAsia" w:ascii="仿宋_GB2312" w:hAnsi="Calibri" w:eastAsia="仿宋_GB2312"/>
          <w:sz w:val="32"/>
          <w:szCs w:val="32"/>
        </w:rPr>
      </w:pPr>
      <w:r>
        <w:rPr>
          <w:rFonts w:hint="eastAsia" w:ascii="仿宋_GB2312" w:hAnsi="Calibri" w:eastAsia="仿宋_GB2312"/>
          <w:sz w:val="32"/>
          <w:szCs w:val="32"/>
        </w:rPr>
        <w:t>市有关部门和浦东新区人民政府应当按照各自职责承担商务合作区管理相关工作，并支持商务合作区综合管理机构的各项工作。</w:t>
      </w:r>
    </w:p>
    <w:p>
      <w:pPr>
        <w:adjustRightInd w:val="0"/>
        <w:snapToGrid w:val="0"/>
        <w:spacing w:line="560" w:lineRule="exact"/>
        <w:ind w:firstLine="640" w:firstLineChars="200"/>
        <w:rPr>
          <w:rFonts w:hint="eastAsia" w:ascii="仿宋_GB2312" w:hAnsi="Calibri" w:eastAsia="仿宋_GB2312"/>
          <w:sz w:val="32"/>
          <w:szCs w:val="32"/>
        </w:rPr>
      </w:pPr>
      <w:r>
        <w:rPr>
          <w:rFonts w:hint="eastAsia" w:ascii="仿宋_GB2312" w:hAnsi="Calibri" w:eastAsia="仿宋_GB2312"/>
          <w:sz w:val="32"/>
          <w:szCs w:val="32"/>
        </w:rPr>
        <w:t>海关、移民管理、民航管理等部门按照国家规定履行相关职责，共同做好商务合作区相关工作。</w:t>
      </w:r>
    </w:p>
    <w:p>
      <w:pPr>
        <w:adjustRightInd w:val="0"/>
        <w:snapToGrid w:val="0"/>
        <w:spacing w:line="560" w:lineRule="exact"/>
        <w:ind w:firstLine="640" w:firstLineChars="200"/>
        <w:rPr>
          <w:rFonts w:ascii="仿宋_GB2312" w:hAnsi="Calibri" w:eastAsia="仿宋_GB2312"/>
          <w:sz w:val="32"/>
          <w:szCs w:val="32"/>
        </w:rPr>
      </w:pPr>
      <w:r>
        <w:rPr>
          <w:rFonts w:hint="eastAsia" w:ascii="黑体" w:hAnsi="黑体" w:eastAsia="黑体"/>
          <w:sz w:val="32"/>
          <w:szCs w:val="32"/>
        </w:rPr>
        <w:t>第七条</w:t>
      </w:r>
      <w:r>
        <w:rPr>
          <w:rFonts w:hint="eastAsia" w:ascii="仿宋_GB2312" w:hAnsi="Calibri" w:eastAsia="仿宋_GB2312"/>
          <w:sz w:val="32"/>
          <w:szCs w:val="32"/>
        </w:rPr>
        <w:t>（协同管理）</w:t>
      </w:r>
    </w:p>
    <w:p>
      <w:pPr>
        <w:adjustRightInd w:val="0"/>
        <w:snapToGrid w:val="0"/>
        <w:spacing w:line="560" w:lineRule="exact"/>
        <w:ind w:firstLine="640" w:firstLineChars="200"/>
        <w:rPr>
          <w:rFonts w:hint="eastAsia" w:ascii="仿宋_GB2312" w:hAnsi="Calibri" w:eastAsia="仿宋_GB2312"/>
          <w:sz w:val="32"/>
          <w:szCs w:val="32"/>
        </w:rPr>
      </w:pPr>
      <w:r>
        <w:rPr>
          <w:rFonts w:hint="eastAsia" w:ascii="仿宋_GB2312" w:hAnsi="Calibri" w:eastAsia="仿宋_GB2312"/>
          <w:sz w:val="32"/>
          <w:szCs w:val="32"/>
        </w:rPr>
        <w:t>本市与海关、移民管理、民航管理等部门建立监管协调机制，强化协同监管，加强区内风险管理，对可能存在的生物安全、非法出入境、走私风险、社会治安、空防安全等开展联合研判、采取有效措施。</w:t>
      </w:r>
    </w:p>
    <w:p>
      <w:pPr>
        <w:adjustRightInd w:val="0"/>
        <w:snapToGrid w:val="0"/>
        <w:spacing w:line="560" w:lineRule="exact"/>
        <w:ind w:firstLine="640" w:firstLineChars="200"/>
        <w:rPr>
          <w:rFonts w:ascii="仿宋_GB2312" w:hAnsi="Calibri" w:eastAsia="仿宋_GB2312"/>
          <w:sz w:val="32"/>
          <w:szCs w:val="32"/>
        </w:rPr>
      </w:pPr>
      <w:r>
        <w:rPr>
          <w:rFonts w:hint="eastAsia" w:ascii="黑体" w:hAnsi="黑体" w:eastAsia="黑体"/>
          <w:sz w:val="32"/>
          <w:szCs w:val="32"/>
        </w:rPr>
        <w:t>第八条</w:t>
      </w:r>
      <w:r>
        <w:rPr>
          <w:rFonts w:hint="eastAsia" w:ascii="仿宋_GB2312" w:hAnsi="Calibri" w:eastAsia="仿宋_GB2312"/>
          <w:sz w:val="32"/>
          <w:szCs w:val="32"/>
        </w:rPr>
        <w:t>（综合服务平台）</w:t>
      </w:r>
    </w:p>
    <w:p>
      <w:pPr>
        <w:adjustRightInd w:val="0"/>
        <w:snapToGrid w:val="0"/>
        <w:spacing w:line="560" w:lineRule="exact"/>
        <w:ind w:firstLine="640" w:firstLineChars="200"/>
        <w:rPr>
          <w:rFonts w:hint="eastAsia" w:ascii="仿宋_GB2312" w:hAnsi="Calibri" w:eastAsia="仿宋_GB2312"/>
          <w:sz w:val="32"/>
          <w:szCs w:val="32"/>
        </w:rPr>
      </w:pPr>
      <w:r>
        <w:rPr>
          <w:rFonts w:hint="eastAsia" w:ascii="仿宋_GB2312" w:hAnsi="Calibri" w:eastAsia="仿宋_GB2312"/>
          <w:sz w:val="32"/>
          <w:szCs w:val="32"/>
        </w:rPr>
        <w:t>商务合作区建立综合信息管理服务平台（以下简称综合服务平台），加强数据共享，创新业务流程，丰富应用场景，为人员、行李物品、货物、车辆入区出区，以及区内活动所需各类手续办理提供安全、便利、智慧的服务。</w:t>
      </w:r>
    </w:p>
    <w:p>
      <w:pPr>
        <w:adjustRightInd w:val="0"/>
        <w:snapToGrid w:val="0"/>
        <w:spacing w:line="560" w:lineRule="exact"/>
        <w:ind w:firstLine="640" w:firstLineChars="200"/>
        <w:jc w:val="left"/>
        <w:rPr>
          <w:rFonts w:ascii="黑体" w:hAnsi="黑体" w:eastAsia="黑体"/>
          <w:sz w:val="32"/>
          <w:szCs w:val="32"/>
        </w:rPr>
      </w:pPr>
    </w:p>
    <w:p>
      <w:pPr>
        <w:adjustRightInd w:val="0"/>
        <w:snapToGrid w:val="0"/>
        <w:spacing w:line="560" w:lineRule="exact"/>
        <w:jc w:val="center"/>
        <w:rPr>
          <w:rFonts w:ascii="黑体" w:hAnsi="黑体" w:eastAsia="黑体"/>
          <w:sz w:val="32"/>
          <w:szCs w:val="32"/>
        </w:rPr>
      </w:pPr>
      <w:r>
        <w:rPr>
          <w:rFonts w:hint="eastAsia" w:ascii="黑体" w:hAnsi="黑体" w:eastAsia="黑体"/>
          <w:sz w:val="32"/>
          <w:szCs w:val="32"/>
        </w:rPr>
        <w:t>第三章 区域功能</w:t>
      </w:r>
    </w:p>
    <w:p>
      <w:pPr>
        <w:adjustRightInd w:val="0"/>
        <w:snapToGrid w:val="0"/>
        <w:spacing w:line="560" w:lineRule="exact"/>
        <w:ind w:firstLine="640" w:firstLineChars="200"/>
        <w:rPr>
          <w:rFonts w:ascii="仿宋_GB2312" w:hAnsi="Calibri" w:eastAsia="仿宋_GB2312"/>
          <w:sz w:val="32"/>
          <w:szCs w:val="32"/>
        </w:rPr>
      </w:pPr>
    </w:p>
    <w:p>
      <w:pPr>
        <w:adjustRightInd w:val="0"/>
        <w:snapToGrid w:val="0"/>
        <w:spacing w:line="560" w:lineRule="exact"/>
        <w:ind w:firstLine="640" w:firstLineChars="200"/>
        <w:rPr>
          <w:rFonts w:ascii="仿宋_GB2312" w:hAnsi="Calibri" w:eastAsia="仿宋_GB2312"/>
          <w:sz w:val="32"/>
          <w:szCs w:val="32"/>
        </w:rPr>
      </w:pPr>
      <w:r>
        <w:rPr>
          <w:rFonts w:hint="eastAsia" w:ascii="黑体" w:hAnsi="黑体" w:eastAsia="黑体"/>
          <w:sz w:val="32"/>
          <w:szCs w:val="32"/>
        </w:rPr>
        <w:t>第九条</w:t>
      </w:r>
      <w:r>
        <w:rPr>
          <w:rFonts w:hint="eastAsia" w:ascii="仿宋_GB2312" w:hAnsi="Calibri" w:eastAsia="仿宋_GB2312"/>
          <w:sz w:val="32"/>
          <w:szCs w:val="32"/>
        </w:rPr>
        <w:t>（商务交流）</w:t>
      </w:r>
    </w:p>
    <w:p>
      <w:pPr>
        <w:adjustRightInd w:val="0"/>
        <w:snapToGrid w:val="0"/>
        <w:spacing w:line="560" w:lineRule="exact"/>
        <w:ind w:firstLine="640" w:firstLineChars="200"/>
        <w:rPr>
          <w:rFonts w:ascii="仿宋_GB2312" w:hAnsi="Calibri" w:eastAsia="仿宋_GB2312"/>
          <w:sz w:val="32"/>
          <w:szCs w:val="32"/>
        </w:rPr>
      </w:pPr>
      <w:r>
        <w:rPr>
          <w:rFonts w:hint="eastAsia" w:ascii="仿宋_GB2312" w:hAnsi="Calibri" w:eastAsia="仿宋_GB2312"/>
          <w:sz w:val="32"/>
          <w:szCs w:val="32"/>
        </w:rPr>
        <w:t>商务合作区应当为具有短期停留商务活动需求的境外人员在区内开展商务会见、商务洽谈等商务交流活动提供便利。</w:t>
      </w:r>
    </w:p>
    <w:p>
      <w:pPr>
        <w:adjustRightInd w:val="0"/>
        <w:snapToGrid w:val="0"/>
        <w:spacing w:line="560" w:lineRule="exact"/>
        <w:ind w:firstLine="640" w:firstLineChars="200"/>
        <w:rPr>
          <w:rFonts w:ascii="仿宋_GB2312" w:hAnsi="Calibri" w:eastAsia="仿宋_GB2312"/>
          <w:sz w:val="32"/>
          <w:szCs w:val="32"/>
        </w:rPr>
      </w:pPr>
      <w:r>
        <w:rPr>
          <w:rFonts w:hint="eastAsia" w:ascii="仿宋_GB2312" w:hAnsi="Calibri" w:eastAsia="仿宋_GB2312"/>
          <w:sz w:val="32"/>
          <w:szCs w:val="32"/>
        </w:rPr>
        <w:t>鼓励总部型企业、跨国公司以及国际机构等在区内开展跨境商务活动。</w:t>
      </w:r>
    </w:p>
    <w:p>
      <w:pPr>
        <w:adjustRightInd w:val="0"/>
        <w:snapToGrid w:val="0"/>
        <w:spacing w:line="560" w:lineRule="exact"/>
        <w:ind w:firstLine="640" w:firstLineChars="200"/>
        <w:rPr>
          <w:rFonts w:ascii="仿宋_GB2312" w:hAnsi="Calibri" w:eastAsia="仿宋_GB2312"/>
          <w:sz w:val="32"/>
          <w:szCs w:val="32"/>
        </w:rPr>
      </w:pPr>
      <w:r>
        <w:rPr>
          <w:rFonts w:hint="eastAsia" w:ascii="黑体" w:hAnsi="黑体" w:eastAsia="黑体"/>
          <w:sz w:val="32"/>
          <w:szCs w:val="32"/>
        </w:rPr>
        <w:t>第十条</w:t>
      </w:r>
      <w:r>
        <w:rPr>
          <w:rFonts w:hint="eastAsia" w:ascii="仿宋_GB2312" w:hAnsi="Calibri" w:eastAsia="仿宋_GB2312"/>
          <w:sz w:val="32"/>
          <w:szCs w:val="32"/>
        </w:rPr>
        <w:t>（国际会展）</w:t>
      </w:r>
    </w:p>
    <w:p>
      <w:pPr>
        <w:adjustRightInd w:val="0"/>
        <w:snapToGrid w:val="0"/>
        <w:spacing w:line="560" w:lineRule="exact"/>
        <w:ind w:firstLine="640" w:firstLineChars="200"/>
        <w:rPr>
          <w:rFonts w:ascii="仿宋_GB2312" w:hAnsi="Calibri" w:eastAsia="仿宋_GB2312"/>
          <w:sz w:val="32"/>
          <w:szCs w:val="32"/>
        </w:rPr>
      </w:pPr>
      <w:r>
        <w:rPr>
          <w:rFonts w:hint="eastAsia" w:ascii="仿宋_GB2312" w:hAnsi="Calibri" w:eastAsia="仿宋_GB2312"/>
          <w:sz w:val="32"/>
          <w:szCs w:val="32"/>
        </w:rPr>
        <w:t>鼓励国内企业与国际知名会展企业、境外专业组展机构、国际展览业协会等加强合作，在区内举办国际知名品牌展会和经贸类展会。</w:t>
      </w:r>
    </w:p>
    <w:p>
      <w:pPr>
        <w:adjustRightInd w:val="0"/>
        <w:snapToGrid w:val="0"/>
        <w:spacing w:line="560" w:lineRule="exact"/>
        <w:ind w:firstLine="640" w:firstLineChars="200"/>
        <w:rPr>
          <w:rFonts w:ascii="仿宋_GB2312" w:hAnsi="Calibri" w:eastAsia="仿宋_GB2312"/>
          <w:sz w:val="32"/>
          <w:szCs w:val="32"/>
        </w:rPr>
      </w:pPr>
      <w:r>
        <w:rPr>
          <w:rFonts w:hint="eastAsia" w:ascii="仿宋_GB2312" w:hAnsi="Calibri" w:eastAsia="仿宋_GB2312"/>
          <w:sz w:val="32"/>
          <w:szCs w:val="32"/>
        </w:rPr>
        <w:t>按照国家规定，允许外国机构在区内独立举办除冠名“中国”“中华”“全国”“国家”等字样以外的涉外经济技术展会。</w:t>
      </w:r>
    </w:p>
    <w:p>
      <w:pPr>
        <w:adjustRightInd w:val="0"/>
        <w:snapToGrid w:val="0"/>
        <w:spacing w:line="560" w:lineRule="exact"/>
        <w:ind w:firstLine="640" w:firstLineChars="200"/>
        <w:rPr>
          <w:rFonts w:ascii="仿宋_GB2312" w:hAnsi="Calibri" w:eastAsia="仿宋_GB2312"/>
          <w:sz w:val="32"/>
          <w:szCs w:val="32"/>
        </w:rPr>
      </w:pPr>
      <w:r>
        <w:rPr>
          <w:rFonts w:hint="eastAsia" w:ascii="仿宋_GB2312" w:hAnsi="Calibri" w:eastAsia="仿宋_GB2312"/>
          <w:sz w:val="32"/>
          <w:szCs w:val="32"/>
        </w:rPr>
        <w:t>按照国家规定，市商务部门受国家有关部门委托，对外国机构独立举办或者合作主办的涉外经济技术展会实施行政许可并开展有效监管。</w:t>
      </w:r>
    </w:p>
    <w:p>
      <w:pPr>
        <w:adjustRightInd w:val="0"/>
        <w:snapToGrid w:val="0"/>
        <w:spacing w:line="560" w:lineRule="exact"/>
        <w:ind w:firstLine="640" w:firstLineChars="200"/>
        <w:rPr>
          <w:rFonts w:ascii="仿宋_GB2312" w:hAnsi="Calibri" w:eastAsia="仿宋_GB2312"/>
          <w:sz w:val="32"/>
          <w:szCs w:val="32"/>
        </w:rPr>
      </w:pPr>
      <w:r>
        <w:rPr>
          <w:rFonts w:hint="eastAsia" w:ascii="黑体" w:hAnsi="黑体" w:eastAsia="黑体"/>
          <w:sz w:val="32"/>
          <w:szCs w:val="32"/>
        </w:rPr>
        <w:t>第十一条</w:t>
      </w:r>
      <w:r>
        <w:rPr>
          <w:rFonts w:hint="eastAsia" w:ascii="仿宋_GB2312" w:hAnsi="Calibri" w:eastAsia="仿宋_GB2312"/>
          <w:sz w:val="32"/>
          <w:szCs w:val="32"/>
        </w:rPr>
        <w:t>（国际培训）</w:t>
      </w:r>
    </w:p>
    <w:p>
      <w:pPr>
        <w:adjustRightInd w:val="0"/>
        <w:snapToGrid w:val="0"/>
        <w:spacing w:line="560" w:lineRule="exact"/>
        <w:ind w:firstLine="640" w:firstLineChars="200"/>
        <w:rPr>
          <w:rFonts w:ascii="仿宋_GB2312" w:hAnsi="Calibri" w:eastAsia="仿宋_GB2312"/>
          <w:sz w:val="32"/>
          <w:szCs w:val="32"/>
        </w:rPr>
      </w:pPr>
      <w:r>
        <w:rPr>
          <w:rFonts w:hint="eastAsia" w:ascii="仿宋_GB2312" w:hAnsi="Calibri" w:eastAsia="仿宋_GB2312"/>
          <w:sz w:val="32"/>
          <w:szCs w:val="32"/>
        </w:rPr>
        <w:t>鼓励高等院校、研究机构、跨国公司、行业协会等在区内开展国际培训活动，支持境内外学员到区内参加培训活动。鼓励在区内开展大型医疗器械操作、航空模拟飞行以及专业设备维护等专业培训业务。</w:t>
      </w:r>
    </w:p>
    <w:p>
      <w:pPr>
        <w:adjustRightInd w:val="0"/>
        <w:snapToGrid w:val="0"/>
        <w:spacing w:line="560" w:lineRule="exact"/>
        <w:ind w:firstLine="640" w:firstLineChars="200"/>
        <w:rPr>
          <w:rFonts w:ascii="仿宋_GB2312" w:hAnsi="Calibri" w:eastAsia="仿宋_GB2312"/>
          <w:sz w:val="32"/>
          <w:szCs w:val="32"/>
        </w:rPr>
      </w:pPr>
      <w:r>
        <w:rPr>
          <w:rFonts w:hint="eastAsia" w:ascii="黑体" w:hAnsi="黑体" w:eastAsia="黑体"/>
          <w:sz w:val="32"/>
          <w:szCs w:val="32"/>
        </w:rPr>
        <w:t>第十二条</w:t>
      </w:r>
      <w:r>
        <w:rPr>
          <w:rFonts w:hint="eastAsia" w:ascii="仿宋_GB2312" w:hAnsi="Calibri" w:eastAsia="仿宋_GB2312"/>
          <w:sz w:val="32"/>
          <w:szCs w:val="32"/>
        </w:rPr>
        <w:t>（交流合作）</w:t>
      </w:r>
    </w:p>
    <w:p>
      <w:pPr>
        <w:adjustRightInd w:val="0"/>
        <w:snapToGrid w:val="0"/>
        <w:spacing w:line="560" w:lineRule="exact"/>
        <w:ind w:firstLine="640" w:firstLineChars="200"/>
        <w:rPr>
          <w:rFonts w:ascii="仿宋_GB2312" w:hAnsi="Calibri" w:eastAsia="仿宋_GB2312"/>
          <w:sz w:val="32"/>
          <w:szCs w:val="32"/>
        </w:rPr>
      </w:pPr>
      <w:r>
        <w:rPr>
          <w:rFonts w:hint="eastAsia" w:ascii="仿宋_GB2312" w:hAnsi="Calibri" w:eastAsia="仿宋_GB2312"/>
          <w:sz w:val="32"/>
          <w:szCs w:val="32"/>
        </w:rPr>
        <w:t>鼓励在区内举办高水平国际交流会议，开展专业研讨，深化国际合作。</w:t>
      </w:r>
    </w:p>
    <w:p>
      <w:pPr>
        <w:adjustRightInd w:val="0"/>
        <w:snapToGrid w:val="0"/>
        <w:spacing w:line="560" w:lineRule="exact"/>
        <w:ind w:firstLine="640" w:firstLineChars="200"/>
        <w:rPr>
          <w:rFonts w:ascii="仿宋_GB2312" w:hAnsi="Calibri" w:eastAsia="仿宋_GB2312"/>
          <w:sz w:val="32"/>
          <w:szCs w:val="32"/>
        </w:rPr>
      </w:pPr>
      <w:r>
        <w:rPr>
          <w:rFonts w:hint="eastAsia" w:ascii="黑体" w:hAnsi="黑体" w:eastAsia="黑体"/>
          <w:sz w:val="32"/>
          <w:szCs w:val="32"/>
        </w:rPr>
        <w:t>第十三条</w:t>
      </w:r>
      <w:r>
        <w:rPr>
          <w:rFonts w:hint="eastAsia" w:ascii="仿宋_GB2312" w:hAnsi="Calibri" w:eastAsia="仿宋_GB2312"/>
          <w:sz w:val="32"/>
          <w:szCs w:val="32"/>
        </w:rPr>
        <w:t>（重点领域）</w:t>
      </w:r>
    </w:p>
    <w:p>
      <w:pPr>
        <w:adjustRightInd w:val="0"/>
        <w:snapToGrid w:val="0"/>
        <w:spacing w:line="560" w:lineRule="exact"/>
        <w:ind w:firstLine="640" w:firstLineChars="200"/>
        <w:rPr>
          <w:rFonts w:hint="eastAsia" w:ascii="仿宋_GB2312" w:hAnsi="Calibri" w:eastAsia="仿宋_GB2312"/>
          <w:sz w:val="32"/>
          <w:szCs w:val="32"/>
        </w:rPr>
      </w:pPr>
      <w:r>
        <w:rPr>
          <w:rFonts w:hint="eastAsia" w:ascii="仿宋_GB2312" w:hAnsi="Calibri" w:eastAsia="仿宋_GB2312"/>
          <w:sz w:val="32"/>
          <w:szCs w:val="32"/>
        </w:rPr>
        <w:t>本市支持商务合作区创新发展离岸贸易、服务贸易和数字贸易。鼓励会计、金融、法律、咨询、检测等专业服务机构在商务合作区内开展业务。鼓励商务合作区引入高水平国际医疗资源，开展国际化医疗服务。</w:t>
      </w:r>
    </w:p>
    <w:p>
      <w:pPr>
        <w:adjustRightInd w:val="0"/>
        <w:snapToGrid w:val="0"/>
        <w:spacing w:line="560" w:lineRule="exact"/>
        <w:ind w:firstLine="640" w:firstLineChars="200"/>
        <w:rPr>
          <w:rFonts w:ascii="仿宋_GB2312" w:hAnsi="Calibri" w:eastAsia="仿宋_GB2312"/>
          <w:sz w:val="32"/>
          <w:szCs w:val="32"/>
        </w:rPr>
      </w:pPr>
      <w:r>
        <w:rPr>
          <w:rFonts w:hint="eastAsia" w:ascii="仿宋_GB2312" w:hAnsi="Calibri" w:eastAsia="仿宋_GB2312"/>
          <w:sz w:val="32"/>
          <w:szCs w:val="32"/>
        </w:rPr>
        <w:t>商务合作区</w:t>
      </w:r>
      <w:r>
        <w:rPr>
          <w:rFonts w:hint="eastAsia" w:ascii="仿宋_GB2312" w:hAnsi="Calibri" w:eastAsia="仿宋_GB2312"/>
          <w:sz w:val="32"/>
          <w:szCs w:val="32"/>
          <w:lang w:eastAsia="zh-CN"/>
        </w:rPr>
        <w:t>内</w:t>
      </w:r>
      <w:r>
        <w:rPr>
          <w:rFonts w:hint="eastAsia" w:ascii="仿宋_GB2312" w:hAnsi="Calibri" w:eastAsia="仿宋_GB2312"/>
          <w:sz w:val="32"/>
          <w:szCs w:val="32"/>
        </w:rPr>
        <w:t>可以依法开展保税研发、保税展示交易、跨境电商、融资租赁、软件测试、数据加工等业务。</w:t>
      </w:r>
    </w:p>
    <w:p>
      <w:pPr>
        <w:adjustRightInd w:val="0"/>
        <w:snapToGrid w:val="0"/>
        <w:spacing w:line="560" w:lineRule="exact"/>
        <w:jc w:val="center"/>
        <w:rPr>
          <w:rFonts w:ascii="黑体" w:hAnsi="黑体" w:eastAsia="黑体"/>
          <w:sz w:val="32"/>
          <w:szCs w:val="32"/>
        </w:rPr>
      </w:pPr>
    </w:p>
    <w:p>
      <w:pPr>
        <w:adjustRightInd w:val="0"/>
        <w:snapToGrid w:val="0"/>
        <w:spacing w:line="560" w:lineRule="exact"/>
        <w:jc w:val="center"/>
        <w:rPr>
          <w:rFonts w:ascii="黑体" w:hAnsi="黑体" w:eastAsia="黑体"/>
          <w:sz w:val="32"/>
          <w:szCs w:val="32"/>
        </w:rPr>
      </w:pPr>
      <w:r>
        <w:rPr>
          <w:rFonts w:hint="eastAsia" w:ascii="黑体" w:hAnsi="黑体" w:eastAsia="黑体"/>
          <w:sz w:val="32"/>
          <w:szCs w:val="32"/>
        </w:rPr>
        <w:t>第四章 人员管理</w:t>
      </w:r>
    </w:p>
    <w:p>
      <w:pPr>
        <w:adjustRightInd w:val="0"/>
        <w:snapToGrid w:val="0"/>
        <w:spacing w:line="560" w:lineRule="exact"/>
        <w:ind w:firstLine="640" w:firstLineChars="200"/>
        <w:rPr>
          <w:rFonts w:ascii="仿宋_GB2312" w:hAnsi="Calibri" w:eastAsia="仿宋_GB2312"/>
          <w:sz w:val="32"/>
          <w:szCs w:val="32"/>
        </w:rPr>
      </w:pPr>
    </w:p>
    <w:p>
      <w:pPr>
        <w:adjustRightInd w:val="0"/>
        <w:snapToGrid w:val="0"/>
        <w:spacing w:line="560" w:lineRule="exact"/>
        <w:ind w:firstLine="640" w:firstLineChars="200"/>
        <w:rPr>
          <w:rFonts w:ascii="仿宋_GB2312" w:hAnsi="Calibri" w:eastAsia="仿宋_GB2312"/>
          <w:sz w:val="32"/>
          <w:szCs w:val="32"/>
        </w:rPr>
      </w:pPr>
      <w:r>
        <w:rPr>
          <w:rFonts w:hint="eastAsia" w:ascii="黑体" w:hAnsi="黑体" w:eastAsia="黑体"/>
          <w:sz w:val="32"/>
          <w:szCs w:val="32"/>
        </w:rPr>
        <w:t>第十四条</w:t>
      </w:r>
      <w:r>
        <w:rPr>
          <w:rFonts w:hint="eastAsia" w:ascii="仿宋_GB2312" w:hAnsi="Calibri" w:eastAsia="仿宋_GB2312"/>
          <w:sz w:val="32"/>
          <w:szCs w:val="32"/>
        </w:rPr>
        <w:t>（境外人员入区）</w:t>
      </w:r>
    </w:p>
    <w:p>
      <w:pPr>
        <w:adjustRightInd w:val="0"/>
        <w:snapToGrid w:val="0"/>
        <w:spacing w:line="560" w:lineRule="exact"/>
        <w:ind w:firstLine="640" w:firstLineChars="200"/>
        <w:rPr>
          <w:rFonts w:hint="eastAsia" w:ascii="仿宋_GB2312" w:hAnsi="Calibri" w:eastAsia="仿宋_GB2312"/>
          <w:sz w:val="32"/>
          <w:szCs w:val="32"/>
        </w:rPr>
      </w:pPr>
      <w:r>
        <w:rPr>
          <w:rFonts w:hint="eastAsia" w:ascii="仿宋_GB2312" w:hAnsi="Calibri" w:eastAsia="仿宋_GB2312"/>
          <w:sz w:val="32"/>
          <w:szCs w:val="32"/>
        </w:rPr>
        <w:t>搭乘国际（地区）航班自浦东国际机场入区的境外人员进入商务合作区，应当以开展商务交流、国际会展、国际培训等活动为主要目的。邀请境外人员入区开展商务活动的国内机构一般应当提前48小时通过综合服务平台，向商务合作区综合管理机构办理邀请备案。</w:t>
      </w:r>
    </w:p>
    <w:p>
      <w:pPr>
        <w:adjustRightInd w:val="0"/>
        <w:snapToGrid w:val="0"/>
        <w:spacing w:line="560" w:lineRule="exact"/>
        <w:ind w:firstLine="640" w:firstLineChars="200"/>
        <w:rPr>
          <w:rFonts w:hint="eastAsia" w:ascii="仿宋_GB2312" w:hAnsi="Calibri" w:eastAsia="仿宋_GB2312"/>
          <w:sz w:val="32"/>
          <w:szCs w:val="32"/>
        </w:rPr>
      </w:pPr>
      <w:r>
        <w:rPr>
          <w:rFonts w:hint="eastAsia" w:ascii="仿宋_GB2312" w:hAnsi="Calibri" w:eastAsia="仿宋_GB2312"/>
          <w:sz w:val="32"/>
          <w:szCs w:val="32"/>
        </w:rPr>
        <w:t>境外人员应当持国际旅行证件和商务合作区综合管理机构备案的有效邀请，经移民管理机构核查后入区。海关对境外人员仅开展卫生检疫。</w:t>
      </w:r>
    </w:p>
    <w:p>
      <w:pPr>
        <w:adjustRightInd w:val="0"/>
        <w:snapToGrid w:val="0"/>
        <w:spacing w:line="560" w:lineRule="exact"/>
        <w:ind w:firstLine="640" w:firstLineChars="200"/>
        <w:rPr>
          <w:rFonts w:hint="eastAsia" w:ascii="仿宋_GB2312" w:hAnsi="Calibri" w:eastAsia="仿宋_GB2312"/>
          <w:sz w:val="32"/>
          <w:szCs w:val="32"/>
        </w:rPr>
      </w:pPr>
      <w:r>
        <w:rPr>
          <w:rFonts w:hint="eastAsia" w:ascii="仿宋_GB2312" w:hAnsi="Calibri" w:eastAsia="仿宋_GB2312"/>
          <w:sz w:val="32"/>
          <w:szCs w:val="32"/>
        </w:rPr>
        <w:t>境外人员按照国家规定，可以持商务合作区综合管理机构备案的有效邀请，在境外办理国际（地区）航班到达浦东国际机场的值机手续。</w:t>
      </w:r>
    </w:p>
    <w:p>
      <w:pPr>
        <w:adjustRightInd w:val="0"/>
        <w:snapToGrid w:val="0"/>
        <w:spacing w:line="560" w:lineRule="exact"/>
        <w:ind w:firstLine="640" w:firstLineChars="200"/>
        <w:rPr>
          <w:rFonts w:ascii="仿宋_GB2312" w:hAnsi="Calibri" w:eastAsia="仿宋_GB2312"/>
          <w:sz w:val="32"/>
          <w:szCs w:val="32"/>
        </w:rPr>
      </w:pPr>
      <w:r>
        <w:rPr>
          <w:rFonts w:hint="eastAsia" w:ascii="黑体" w:hAnsi="黑体" w:eastAsia="黑体"/>
          <w:sz w:val="32"/>
          <w:szCs w:val="32"/>
        </w:rPr>
        <w:t>第十五条</w:t>
      </w:r>
      <w:r>
        <w:rPr>
          <w:rFonts w:hint="eastAsia" w:ascii="仿宋_GB2312" w:hAnsi="Calibri" w:eastAsia="仿宋_GB2312"/>
          <w:sz w:val="32"/>
          <w:szCs w:val="32"/>
        </w:rPr>
        <w:t>（境外人员出区）</w:t>
      </w:r>
    </w:p>
    <w:p>
      <w:pPr>
        <w:adjustRightInd w:val="0"/>
        <w:snapToGrid w:val="0"/>
        <w:spacing w:line="560" w:lineRule="exact"/>
        <w:ind w:firstLine="640" w:firstLineChars="200"/>
        <w:rPr>
          <w:rFonts w:hint="eastAsia" w:ascii="仿宋_GB2312" w:hAnsi="Calibri" w:eastAsia="仿宋_GB2312"/>
          <w:sz w:val="32"/>
          <w:szCs w:val="32"/>
        </w:rPr>
      </w:pPr>
      <w:r>
        <w:rPr>
          <w:rFonts w:hint="eastAsia" w:ascii="仿宋_GB2312" w:hAnsi="Calibri" w:eastAsia="仿宋_GB2312"/>
          <w:sz w:val="32"/>
          <w:szCs w:val="32"/>
        </w:rPr>
        <w:t>境外人员离开商务合作区经浦东国际机场搭乘国际（地区）航班离境的，可以在区内联检区域办理国际航班值机、行李托运、安全检查、离境退税等手续，经移民管理机构核查、海关卫生检疫后通过浦东国际机场离境。</w:t>
      </w:r>
    </w:p>
    <w:p>
      <w:pPr>
        <w:adjustRightInd w:val="0"/>
        <w:snapToGrid w:val="0"/>
        <w:spacing w:line="560" w:lineRule="exact"/>
        <w:ind w:firstLine="640" w:firstLineChars="200"/>
        <w:rPr>
          <w:rFonts w:hint="eastAsia" w:ascii="仿宋_GB2312" w:hAnsi="Calibri" w:eastAsia="仿宋_GB2312"/>
          <w:sz w:val="32"/>
          <w:szCs w:val="32"/>
        </w:rPr>
      </w:pPr>
      <w:r>
        <w:rPr>
          <w:rFonts w:hint="eastAsia" w:ascii="仿宋_GB2312" w:hAnsi="Calibri" w:eastAsia="仿宋_GB2312"/>
          <w:sz w:val="32"/>
          <w:szCs w:val="32"/>
        </w:rPr>
        <w:t>境外人员离开商务合作区进入境内其他地区的，应当持国际旅行证件、入境许可证明，履行规定的手续，移民管理机构依法提供相应的便利。境外人员按照国家规定，可以在区内申请办理口岸签证或者临时入境手续等。符合我国免办签证情形的，适用相关政策。</w:t>
      </w:r>
    </w:p>
    <w:p>
      <w:pPr>
        <w:adjustRightInd w:val="0"/>
        <w:snapToGrid w:val="0"/>
        <w:spacing w:line="560" w:lineRule="exact"/>
        <w:ind w:firstLine="640" w:firstLineChars="200"/>
        <w:rPr>
          <w:rFonts w:hint="eastAsia" w:ascii="仿宋_GB2312" w:hAnsi="Calibri" w:eastAsia="仿宋_GB2312"/>
          <w:sz w:val="32"/>
          <w:szCs w:val="32"/>
        </w:rPr>
      </w:pPr>
      <w:r>
        <w:rPr>
          <w:rFonts w:hint="eastAsia" w:ascii="黑体" w:hAnsi="黑体" w:eastAsia="黑体"/>
          <w:sz w:val="32"/>
          <w:szCs w:val="32"/>
        </w:rPr>
        <w:t>第十六条</w:t>
      </w:r>
      <w:r>
        <w:rPr>
          <w:rFonts w:hint="eastAsia" w:ascii="仿宋_GB2312" w:hAnsi="Calibri" w:eastAsia="仿宋_GB2312"/>
          <w:sz w:val="32"/>
          <w:szCs w:val="32"/>
        </w:rPr>
        <w:t>（境内人员入区出区）</w:t>
      </w:r>
    </w:p>
    <w:p>
      <w:pPr>
        <w:adjustRightInd w:val="0"/>
        <w:snapToGrid w:val="0"/>
        <w:spacing w:line="560" w:lineRule="exact"/>
        <w:ind w:firstLine="640" w:firstLineChars="200"/>
        <w:rPr>
          <w:rFonts w:hint="eastAsia" w:ascii="仿宋_GB2312" w:hAnsi="Calibri" w:eastAsia="仿宋_GB2312"/>
          <w:sz w:val="32"/>
          <w:szCs w:val="32"/>
        </w:rPr>
      </w:pPr>
      <w:r>
        <w:rPr>
          <w:rFonts w:hint="eastAsia" w:ascii="仿宋_GB2312" w:hAnsi="Calibri" w:eastAsia="仿宋_GB2312"/>
          <w:sz w:val="32"/>
          <w:szCs w:val="32"/>
        </w:rPr>
        <w:t>境内人员进入商务合作区按照国家规定实施通行许可管理。</w:t>
      </w:r>
    </w:p>
    <w:p>
      <w:pPr>
        <w:adjustRightInd w:val="0"/>
        <w:snapToGrid w:val="0"/>
        <w:spacing w:line="560" w:lineRule="exact"/>
        <w:ind w:firstLine="640" w:firstLineChars="200"/>
        <w:rPr>
          <w:rFonts w:hint="eastAsia" w:eastAsia="仿宋_GB2312"/>
          <w:color w:val="000000"/>
          <w:sz w:val="32"/>
          <w:szCs w:val="32"/>
        </w:rPr>
      </w:pPr>
      <w:r>
        <w:rPr>
          <w:rFonts w:hint="eastAsia" w:eastAsia="仿宋_GB2312"/>
          <w:color w:val="000000"/>
          <w:sz w:val="32"/>
          <w:szCs w:val="32"/>
        </w:rPr>
        <w:t>对于入区开展商务活动的境内人员，国内机构一般应当提前</w:t>
      </w:r>
      <w:r>
        <w:rPr>
          <w:rFonts w:hint="eastAsia" w:ascii="仿宋_GB2312" w:eastAsia="仿宋_GB2312"/>
          <w:color w:val="000000"/>
          <w:sz w:val="32"/>
          <w:szCs w:val="32"/>
        </w:rPr>
        <w:t>24</w:t>
      </w:r>
      <w:r>
        <w:rPr>
          <w:rFonts w:hint="eastAsia" w:eastAsia="仿宋_GB2312"/>
          <w:color w:val="000000"/>
          <w:sz w:val="32"/>
          <w:szCs w:val="32"/>
        </w:rPr>
        <w:t>小时通过综合服务平台向商务合作区综合管理机构提交规定材料，由移民管理机构签发通行凭证。入区后可能危害国家安全和利益、破坏商务合作区社会公共秩序或者从事其他违法犯罪活动的，以及有移民管理机构明确不宜签发证件的情形的，按照国家规定不予签发通行凭证。</w:t>
      </w:r>
      <w:r>
        <w:rPr>
          <w:rFonts w:hint="eastAsia" w:eastAsia="仿宋_GB2312"/>
          <w:color w:val="000000"/>
          <w:sz w:val="32"/>
          <w:szCs w:val="32"/>
          <w:lang w:eastAsia="zh-CN"/>
        </w:rPr>
        <w:t>取得通行凭证的</w:t>
      </w:r>
      <w:r>
        <w:rPr>
          <w:rFonts w:hint="eastAsia" w:eastAsia="仿宋_GB2312"/>
          <w:color w:val="000000"/>
          <w:sz w:val="32"/>
          <w:szCs w:val="32"/>
        </w:rPr>
        <w:t>境内人员应当持通行凭证或者本人有效身份证件，通过国内侧</w:t>
      </w:r>
      <w:r>
        <w:rPr>
          <w:rFonts w:hint="eastAsia"/>
          <w:color w:val="000000"/>
          <w:sz w:val="32"/>
          <w:szCs w:val="32"/>
          <w:lang w:val="en-US" w:eastAsia="zh-CN"/>
        </w:rPr>
        <w:t>进出</w:t>
      </w:r>
      <w:r>
        <w:rPr>
          <w:rFonts w:hint="eastAsia" w:eastAsia="仿宋_GB2312"/>
          <w:color w:val="000000"/>
          <w:sz w:val="32"/>
          <w:szCs w:val="32"/>
        </w:rPr>
        <w:t>区通道，经安全检查和移民管理机构查验准许后入区出区。</w:t>
      </w:r>
    </w:p>
    <w:p>
      <w:pPr>
        <w:adjustRightInd w:val="0"/>
        <w:snapToGrid w:val="0"/>
        <w:spacing w:line="560" w:lineRule="exact"/>
        <w:ind w:firstLine="640" w:firstLineChars="200"/>
        <w:rPr>
          <w:rFonts w:hint="eastAsia" w:ascii="仿宋_GB2312" w:hAnsi="Calibri" w:eastAsia="仿宋_GB2312"/>
          <w:sz w:val="32"/>
          <w:szCs w:val="32"/>
        </w:rPr>
      </w:pPr>
      <w:r>
        <w:rPr>
          <w:rFonts w:hint="eastAsia" w:ascii="仿宋_GB2312" w:hAnsi="Calibri" w:eastAsia="仿宋_GB2312"/>
          <w:sz w:val="32"/>
          <w:szCs w:val="32"/>
        </w:rPr>
        <w:t>对于服务保障、生产经营、综合管理及执法等其他境内人员的入区出区，按照有关规定实行便利化管理；通过国际侧联检区出入机场控制区的，应当同时持机场通行的有效证件并经安全检查。</w:t>
      </w:r>
    </w:p>
    <w:p>
      <w:pPr>
        <w:adjustRightInd w:val="0"/>
        <w:snapToGrid w:val="0"/>
        <w:spacing w:line="560" w:lineRule="exact"/>
        <w:ind w:firstLine="640" w:firstLineChars="200"/>
        <w:rPr>
          <w:rFonts w:ascii="仿宋_GB2312" w:hAnsi="Calibri" w:eastAsia="仿宋_GB2312"/>
          <w:sz w:val="32"/>
          <w:szCs w:val="32"/>
        </w:rPr>
      </w:pPr>
      <w:r>
        <w:rPr>
          <w:rFonts w:hint="eastAsia" w:ascii="黑体" w:hAnsi="黑体" w:eastAsia="黑体"/>
          <w:sz w:val="32"/>
          <w:szCs w:val="32"/>
        </w:rPr>
        <w:t>第十七条</w:t>
      </w:r>
      <w:r>
        <w:rPr>
          <w:rFonts w:hint="eastAsia" w:ascii="仿宋_GB2312" w:hAnsi="Calibri" w:eastAsia="仿宋_GB2312"/>
          <w:sz w:val="32"/>
          <w:szCs w:val="32"/>
        </w:rPr>
        <w:t>（区内停留管理）</w:t>
      </w:r>
    </w:p>
    <w:p>
      <w:pPr>
        <w:adjustRightInd w:val="0"/>
        <w:snapToGrid w:val="0"/>
        <w:spacing w:line="560" w:lineRule="exact"/>
        <w:ind w:firstLine="640" w:firstLineChars="200"/>
        <w:rPr>
          <w:rFonts w:hint="eastAsia" w:ascii="仿宋_GB2312" w:hAnsi="Calibri" w:eastAsia="仿宋_GB2312"/>
          <w:sz w:val="32"/>
          <w:szCs w:val="32"/>
        </w:rPr>
      </w:pPr>
      <w:r>
        <w:rPr>
          <w:rFonts w:hint="eastAsia" w:ascii="仿宋_GB2312" w:hAnsi="Calibri" w:eastAsia="仿宋_GB2312"/>
          <w:sz w:val="32"/>
          <w:szCs w:val="32"/>
        </w:rPr>
        <w:t>境外人员在商务合作区内开展商务活动可以停留30天；因合理事由需要延长停留期限的，按照国家规定向移民管理机构申请办理相关手续。境内人员入区停留的期限按照国家有关规定执行。</w:t>
      </w:r>
    </w:p>
    <w:p>
      <w:pPr>
        <w:adjustRightInd w:val="0"/>
        <w:snapToGrid w:val="0"/>
        <w:spacing w:line="560" w:lineRule="exact"/>
        <w:ind w:firstLine="640" w:firstLineChars="200"/>
        <w:rPr>
          <w:rFonts w:hint="eastAsia" w:ascii="仿宋_GB2312" w:hAnsi="Calibri" w:eastAsia="仿宋_GB2312"/>
          <w:sz w:val="32"/>
          <w:szCs w:val="32"/>
        </w:rPr>
      </w:pPr>
      <w:r>
        <w:rPr>
          <w:rFonts w:hint="eastAsia" w:ascii="仿宋_GB2312" w:hAnsi="Calibri" w:eastAsia="仿宋_GB2312"/>
          <w:sz w:val="32"/>
          <w:szCs w:val="32"/>
        </w:rPr>
        <w:t>对于入区的外国人，按照</w:t>
      </w:r>
      <w:r>
        <w:rPr>
          <w:rFonts w:hint="eastAsia" w:ascii="仿宋_GB2312" w:eastAsia="仿宋_GB2312"/>
          <w:sz w:val="32"/>
          <w:szCs w:val="32"/>
        </w:rPr>
        <w:t>国家规定，根据</w:t>
      </w:r>
      <w:r>
        <w:rPr>
          <w:rFonts w:hint="eastAsia" w:ascii="仿宋_GB2312" w:hAnsi="Calibri" w:eastAsia="仿宋_GB2312"/>
          <w:sz w:val="32"/>
          <w:szCs w:val="32"/>
        </w:rPr>
        <w:t>境内外国人停居留管理有关规定实施管理。</w:t>
      </w:r>
    </w:p>
    <w:p>
      <w:pPr>
        <w:adjustRightInd w:val="0"/>
        <w:snapToGrid w:val="0"/>
        <w:spacing w:line="560" w:lineRule="exact"/>
        <w:ind w:firstLine="640" w:firstLineChars="200"/>
        <w:rPr>
          <w:rFonts w:ascii="黑体" w:hAnsi="黑体" w:eastAsia="黑体"/>
          <w:sz w:val="32"/>
          <w:szCs w:val="32"/>
        </w:rPr>
      </w:pPr>
      <w:r>
        <w:rPr>
          <w:rFonts w:hint="eastAsia" w:ascii="仿宋_GB2312" w:hAnsi="Calibri" w:eastAsia="仿宋_GB2312"/>
          <w:sz w:val="32"/>
          <w:szCs w:val="32"/>
        </w:rPr>
        <w:t>移民管理机构、公安机关按照职责分工，依法对商务合作区内的人员实施管理。</w:t>
      </w:r>
    </w:p>
    <w:p>
      <w:pPr>
        <w:adjustRightInd w:val="0"/>
        <w:snapToGrid w:val="0"/>
        <w:spacing w:line="560" w:lineRule="exact"/>
        <w:jc w:val="center"/>
        <w:rPr>
          <w:rFonts w:hint="eastAsia" w:ascii="黑体" w:hAnsi="黑体" w:eastAsia="黑体"/>
          <w:sz w:val="32"/>
          <w:szCs w:val="32"/>
        </w:rPr>
      </w:pPr>
    </w:p>
    <w:p>
      <w:pPr>
        <w:adjustRightInd w:val="0"/>
        <w:snapToGrid w:val="0"/>
        <w:spacing w:line="560" w:lineRule="exact"/>
        <w:jc w:val="center"/>
        <w:rPr>
          <w:rFonts w:ascii="黑体" w:hAnsi="黑体" w:eastAsia="黑体"/>
          <w:sz w:val="32"/>
          <w:szCs w:val="32"/>
        </w:rPr>
      </w:pPr>
      <w:r>
        <w:rPr>
          <w:rFonts w:hint="eastAsia" w:ascii="黑体" w:hAnsi="黑体" w:eastAsia="黑体"/>
          <w:sz w:val="32"/>
          <w:szCs w:val="32"/>
        </w:rPr>
        <w:t>第五章 货物和行李物品管理</w:t>
      </w:r>
    </w:p>
    <w:p>
      <w:pPr>
        <w:adjustRightInd w:val="0"/>
        <w:snapToGrid w:val="0"/>
        <w:spacing w:line="560" w:lineRule="exact"/>
        <w:ind w:firstLine="640" w:firstLineChars="200"/>
        <w:rPr>
          <w:rFonts w:ascii="黑体" w:hAnsi="黑体" w:eastAsia="黑体"/>
          <w:sz w:val="32"/>
          <w:szCs w:val="32"/>
        </w:rPr>
      </w:pPr>
    </w:p>
    <w:p>
      <w:pPr>
        <w:adjustRightInd w:val="0"/>
        <w:snapToGrid w:val="0"/>
        <w:spacing w:line="560" w:lineRule="exact"/>
        <w:ind w:firstLine="640" w:firstLineChars="200"/>
        <w:rPr>
          <w:rFonts w:ascii="仿宋_GB2312" w:hAnsi="Calibri" w:eastAsia="仿宋_GB2312"/>
          <w:sz w:val="32"/>
          <w:szCs w:val="32"/>
        </w:rPr>
      </w:pPr>
      <w:r>
        <w:rPr>
          <w:rFonts w:hint="eastAsia" w:ascii="黑体" w:hAnsi="黑体" w:eastAsia="黑体"/>
          <w:sz w:val="32"/>
          <w:szCs w:val="32"/>
        </w:rPr>
        <w:t>第十八条</w:t>
      </w:r>
      <w:r>
        <w:rPr>
          <w:rFonts w:hint="eastAsia" w:ascii="仿宋_GB2312" w:hAnsi="Calibri" w:eastAsia="仿宋_GB2312"/>
          <w:sz w:val="32"/>
          <w:szCs w:val="32"/>
        </w:rPr>
        <w:t>（境外人员行李物品管理）</w:t>
      </w:r>
    </w:p>
    <w:p>
      <w:pPr>
        <w:pStyle w:val="5"/>
        <w:spacing w:line="560" w:lineRule="exact"/>
        <w:rPr>
          <w:rFonts w:hint="eastAsia" w:ascii="仿宋_GB2312" w:hAnsi="Calibri" w:eastAsia="仿宋_GB2312"/>
          <w:lang w:eastAsia="zh-CN"/>
        </w:rPr>
      </w:pPr>
      <w:r>
        <w:rPr>
          <w:rFonts w:hint="eastAsia" w:ascii="仿宋_GB2312" w:hAnsi="Calibri" w:eastAsia="仿宋_GB2312"/>
          <w:lang w:eastAsia="zh-CN"/>
        </w:rPr>
        <w:t>境外人员携带行李物品在国际侧联检区按照国家规定接受海关监管。对境外人员携带合理自用数量的行李物品进入商务合作区给予充分便利，海关仅开展</w:t>
      </w:r>
      <w:r>
        <w:rPr>
          <w:rFonts w:hint="eastAsia" w:ascii="仿宋_GB2312" w:hAnsi="Calibri" w:eastAsia="仿宋_GB2312"/>
          <w:lang w:val="en-US" w:eastAsia="zh-CN"/>
        </w:rPr>
        <w:t>行李物品</w:t>
      </w:r>
      <w:r>
        <w:rPr>
          <w:rFonts w:hint="eastAsia" w:ascii="仿宋_GB2312" w:hAnsi="Calibri" w:eastAsia="仿宋_GB2312"/>
          <w:lang w:eastAsia="zh-CN"/>
        </w:rPr>
        <w:t>安全准入和动植物检疫监管。对出区离境和出区进境的境外人员携带行李物品，按照国家有关规定执行。</w:t>
      </w:r>
    </w:p>
    <w:p>
      <w:pPr>
        <w:pStyle w:val="5"/>
        <w:spacing w:line="560" w:lineRule="exact"/>
        <w:rPr>
          <w:rFonts w:hint="eastAsia" w:ascii="仿宋_GB2312" w:hAnsi="Calibri" w:eastAsia="仿宋_GB2312" w:cs="Times New Roman"/>
          <w:snapToGrid/>
          <w:color w:val="auto"/>
          <w:kern w:val="2"/>
          <w:lang w:eastAsia="zh-CN"/>
        </w:rPr>
      </w:pPr>
      <w:r>
        <w:rPr>
          <w:rFonts w:hint="eastAsia" w:ascii="仿宋_GB2312" w:hAnsi="Calibri" w:eastAsia="仿宋_GB2312" w:cs="Times New Roman"/>
          <w:snapToGrid/>
          <w:color w:val="auto"/>
          <w:kern w:val="2"/>
          <w:lang w:eastAsia="zh-CN"/>
        </w:rPr>
        <w:t>对境外人员携带行李物品进入商务合作区，移民管理机构除执法办案需要外，不再检查。</w:t>
      </w:r>
    </w:p>
    <w:p>
      <w:pPr>
        <w:adjustRightInd w:val="0"/>
        <w:snapToGrid w:val="0"/>
        <w:spacing w:line="560" w:lineRule="exact"/>
        <w:ind w:firstLine="640" w:firstLineChars="200"/>
        <w:rPr>
          <w:rFonts w:ascii="仿宋_GB2312" w:hAnsi="Calibri" w:eastAsia="仿宋_GB2312"/>
          <w:sz w:val="32"/>
          <w:szCs w:val="32"/>
        </w:rPr>
      </w:pPr>
      <w:r>
        <w:rPr>
          <w:rFonts w:hint="eastAsia" w:ascii="黑体" w:hAnsi="黑体" w:eastAsia="黑体"/>
          <w:sz w:val="32"/>
          <w:szCs w:val="32"/>
        </w:rPr>
        <w:t>第十九条</w:t>
      </w:r>
      <w:r>
        <w:rPr>
          <w:rFonts w:hint="eastAsia" w:ascii="仿宋_GB2312" w:hAnsi="Calibri" w:eastAsia="仿宋_GB2312"/>
          <w:sz w:val="32"/>
          <w:szCs w:val="32"/>
        </w:rPr>
        <w:t>（境内人员行李物品管理）</w:t>
      </w:r>
    </w:p>
    <w:p>
      <w:pPr>
        <w:adjustRightInd w:val="0"/>
        <w:snapToGrid w:val="0"/>
        <w:spacing w:line="560" w:lineRule="exact"/>
        <w:ind w:firstLine="640" w:firstLineChars="200"/>
        <w:rPr>
          <w:rFonts w:hint="eastAsia" w:ascii="仿宋_GB2312" w:hAnsi="Calibri" w:eastAsia="仿宋_GB2312"/>
          <w:sz w:val="32"/>
          <w:szCs w:val="32"/>
        </w:rPr>
      </w:pPr>
      <w:r>
        <w:rPr>
          <w:rFonts w:hint="eastAsia" w:ascii="仿宋_GB2312" w:hAnsi="Calibri" w:eastAsia="仿宋_GB2312"/>
          <w:sz w:val="32"/>
          <w:szCs w:val="32"/>
        </w:rPr>
        <w:t>境内人员入区时，携带的行李物品需符合区内活动的需要，拟复带出区的物品，应当通过综合服务平台根据提示进行登记。境内人员出区时，在国内侧进出区通道按照国家规定接受海关监管，不得携带由境外人员带入区的免税物品，违反规定的由海关依法处置。</w:t>
      </w:r>
    </w:p>
    <w:p>
      <w:pPr>
        <w:adjustRightInd w:val="0"/>
        <w:snapToGrid w:val="0"/>
        <w:spacing w:line="560" w:lineRule="exact"/>
        <w:ind w:firstLine="640" w:firstLineChars="200"/>
        <w:rPr>
          <w:rFonts w:ascii="仿宋_GB2312" w:hAnsi="Calibri" w:eastAsia="仿宋_GB2312"/>
          <w:sz w:val="32"/>
          <w:szCs w:val="32"/>
        </w:rPr>
      </w:pPr>
      <w:r>
        <w:rPr>
          <w:rFonts w:hint="eastAsia" w:ascii="黑体" w:hAnsi="黑体" w:eastAsia="黑体"/>
          <w:sz w:val="32"/>
          <w:szCs w:val="32"/>
        </w:rPr>
        <w:t>第二十条</w:t>
      </w:r>
      <w:r>
        <w:rPr>
          <w:rFonts w:hint="eastAsia" w:ascii="仿宋_GB2312" w:hAnsi="Calibri" w:eastAsia="仿宋_GB2312"/>
          <w:sz w:val="32"/>
          <w:szCs w:val="32"/>
        </w:rPr>
        <w:t>（货物管理）</w:t>
      </w:r>
    </w:p>
    <w:p>
      <w:pPr>
        <w:pStyle w:val="5"/>
        <w:spacing w:line="560" w:lineRule="exact"/>
        <w:rPr>
          <w:rFonts w:ascii="仿宋_GB2312" w:hAnsi="Calibri" w:eastAsia="仿宋_GB2312"/>
          <w:lang w:eastAsia="zh-CN"/>
        </w:rPr>
      </w:pPr>
      <w:r>
        <w:rPr>
          <w:rFonts w:hint="eastAsia" w:ascii="仿宋_GB2312" w:hAnsi="Calibri" w:eastAsia="仿宋_GB2312"/>
          <w:color w:val="auto"/>
          <w:lang w:eastAsia="zh-CN"/>
        </w:rPr>
        <w:t>商务合作区与境外、境内区外之间进出的货物，按照国家规定参照综合保税区政策实施管理。</w:t>
      </w:r>
      <w:r>
        <w:rPr>
          <w:rFonts w:hint="eastAsia" w:ascii="仿宋_GB2312" w:hAnsi="Calibri" w:eastAsia="仿宋_GB2312"/>
          <w:lang w:eastAsia="zh-CN"/>
        </w:rPr>
        <w:t>区内配套商业服务企业从境外进口的货物（含区内采购的保税货物），按照国家规定缴纳进口关税和进口环节税后在区内销售，并缴纳国内环节增值税、消费税；从境内区外采购的货物，应当按照国家规定征收国内环节增值税、消费税，通过综合服务平台采用卡口登记模式入区。</w:t>
      </w:r>
    </w:p>
    <w:p>
      <w:pPr>
        <w:adjustRightInd w:val="0"/>
        <w:snapToGrid w:val="0"/>
        <w:spacing w:line="560" w:lineRule="exact"/>
        <w:ind w:firstLine="640" w:firstLineChars="200"/>
        <w:rPr>
          <w:rFonts w:ascii="仿宋_GB2312" w:hAnsi="Calibri" w:eastAsia="仿宋_GB2312"/>
          <w:sz w:val="32"/>
          <w:szCs w:val="32"/>
        </w:rPr>
      </w:pPr>
      <w:r>
        <w:rPr>
          <w:rFonts w:hint="eastAsia" w:ascii="黑体" w:hAnsi="黑体" w:eastAsia="黑体"/>
          <w:sz w:val="32"/>
          <w:szCs w:val="32"/>
        </w:rPr>
        <w:t>第二十一条</w:t>
      </w:r>
      <w:r>
        <w:rPr>
          <w:rFonts w:hint="eastAsia" w:ascii="仿宋_GB2312" w:hAnsi="Calibri" w:eastAsia="仿宋_GB2312"/>
          <w:sz w:val="32"/>
          <w:szCs w:val="32"/>
        </w:rPr>
        <w:t>（基建物资和设备仪器管理）</w:t>
      </w:r>
    </w:p>
    <w:p>
      <w:pPr>
        <w:adjustRightInd w:val="0"/>
        <w:snapToGrid w:val="0"/>
        <w:spacing w:line="560" w:lineRule="exact"/>
        <w:ind w:firstLine="640" w:firstLineChars="200"/>
        <w:rPr>
          <w:rFonts w:hint="eastAsia" w:ascii="仿宋_GB2312" w:hAnsi="Calibri" w:eastAsia="仿宋_GB2312"/>
          <w:sz w:val="32"/>
          <w:szCs w:val="32"/>
        </w:rPr>
      </w:pPr>
      <w:r>
        <w:rPr>
          <w:rFonts w:hint="eastAsia" w:ascii="仿宋_GB2312" w:hAnsi="Calibri" w:eastAsia="仿宋_GB2312"/>
          <w:sz w:val="32"/>
          <w:szCs w:val="32"/>
        </w:rPr>
        <w:t>对商务合作区建设所需基建物资和运营所需设备、仪器等进口，按照国家规定实行清单管理，符合免税条件的，可以向海关申请办理相关手续。</w:t>
      </w:r>
    </w:p>
    <w:p>
      <w:pPr>
        <w:adjustRightInd w:val="0"/>
        <w:snapToGrid w:val="0"/>
        <w:spacing w:line="560" w:lineRule="exact"/>
        <w:ind w:firstLine="640" w:firstLineChars="200"/>
        <w:rPr>
          <w:rFonts w:ascii="仿宋_GB2312" w:hAnsi="Calibri" w:eastAsia="仿宋_GB2312"/>
          <w:sz w:val="32"/>
          <w:szCs w:val="32"/>
        </w:rPr>
      </w:pPr>
      <w:r>
        <w:rPr>
          <w:rFonts w:hint="eastAsia" w:ascii="仿宋_GB2312" w:hAnsi="Calibri" w:eastAsia="仿宋_GB2312"/>
          <w:sz w:val="32"/>
          <w:szCs w:val="32"/>
        </w:rPr>
        <w:t>对境内区外入区的建设所需基建物资和运营所需设备、仪器，符合综合保税区入区退税条件的，可以按照综合保税区政策规定向海关申请办理相关手续后，向税务部门申请办理退税。</w:t>
      </w:r>
    </w:p>
    <w:p>
      <w:pPr>
        <w:adjustRightInd w:val="0"/>
        <w:snapToGrid w:val="0"/>
        <w:spacing w:line="560" w:lineRule="exact"/>
        <w:jc w:val="center"/>
        <w:rPr>
          <w:rFonts w:ascii="黑体" w:hAnsi="黑体" w:eastAsia="黑体"/>
          <w:sz w:val="32"/>
          <w:szCs w:val="32"/>
        </w:rPr>
      </w:pPr>
    </w:p>
    <w:p>
      <w:pPr>
        <w:adjustRightInd w:val="0"/>
        <w:snapToGrid w:val="0"/>
        <w:spacing w:line="560" w:lineRule="exact"/>
        <w:jc w:val="center"/>
        <w:rPr>
          <w:rFonts w:ascii="黑体" w:hAnsi="黑体" w:eastAsia="黑体"/>
          <w:sz w:val="32"/>
          <w:szCs w:val="32"/>
        </w:rPr>
      </w:pPr>
      <w:r>
        <w:rPr>
          <w:rFonts w:hint="eastAsia" w:ascii="黑体" w:hAnsi="黑体" w:eastAsia="黑体"/>
          <w:sz w:val="32"/>
          <w:szCs w:val="32"/>
        </w:rPr>
        <w:t>第六章 配套服务</w:t>
      </w:r>
    </w:p>
    <w:p>
      <w:pPr>
        <w:adjustRightInd w:val="0"/>
        <w:snapToGrid w:val="0"/>
        <w:spacing w:line="560" w:lineRule="exact"/>
        <w:ind w:firstLine="640" w:firstLineChars="200"/>
        <w:rPr>
          <w:rFonts w:ascii="黑体" w:hAnsi="黑体" w:eastAsia="黑体"/>
          <w:sz w:val="32"/>
          <w:szCs w:val="32"/>
        </w:rPr>
      </w:pPr>
    </w:p>
    <w:p>
      <w:pPr>
        <w:adjustRightInd w:val="0"/>
        <w:snapToGrid w:val="0"/>
        <w:spacing w:line="560" w:lineRule="exact"/>
        <w:ind w:firstLine="640" w:firstLineChars="200"/>
        <w:rPr>
          <w:rFonts w:ascii="仿宋_GB2312" w:hAnsi="Calibri" w:eastAsia="仿宋_GB2312"/>
          <w:sz w:val="32"/>
          <w:szCs w:val="32"/>
        </w:rPr>
      </w:pPr>
      <w:r>
        <w:rPr>
          <w:rFonts w:hint="eastAsia" w:ascii="黑体" w:hAnsi="黑体" w:eastAsia="黑体"/>
          <w:sz w:val="32"/>
          <w:szCs w:val="32"/>
        </w:rPr>
        <w:t>第二十二条</w:t>
      </w:r>
      <w:r>
        <w:rPr>
          <w:rFonts w:hint="eastAsia" w:ascii="仿宋_GB2312" w:hAnsi="Calibri" w:eastAsia="仿宋_GB2312"/>
          <w:sz w:val="32"/>
          <w:szCs w:val="32"/>
        </w:rPr>
        <w:t>（服务保障）</w:t>
      </w:r>
    </w:p>
    <w:p>
      <w:pPr>
        <w:adjustRightInd w:val="0"/>
        <w:snapToGrid w:val="0"/>
        <w:spacing w:line="560" w:lineRule="exact"/>
        <w:ind w:firstLine="640" w:firstLineChars="200"/>
        <w:rPr>
          <w:rFonts w:hint="eastAsia" w:ascii="仿宋_GB2312" w:hAnsi="Calibri" w:eastAsia="仿宋_GB2312"/>
          <w:sz w:val="32"/>
          <w:szCs w:val="32"/>
        </w:rPr>
      </w:pPr>
      <w:r>
        <w:rPr>
          <w:rFonts w:hint="eastAsia" w:ascii="仿宋_GB2312" w:hAnsi="Calibri" w:eastAsia="仿宋_GB2312"/>
          <w:sz w:val="32"/>
          <w:szCs w:val="32"/>
        </w:rPr>
        <w:t>商务合作区建设网络、交通、能源等基础设施，以及高标准的餐饮、住宿、零售等商业和休闲、文体、医疗等配套设施。</w:t>
      </w:r>
    </w:p>
    <w:p>
      <w:pPr>
        <w:adjustRightInd w:val="0"/>
        <w:snapToGrid w:val="0"/>
        <w:spacing w:line="560" w:lineRule="exact"/>
        <w:ind w:firstLine="640" w:firstLineChars="200"/>
        <w:rPr>
          <w:rFonts w:ascii="仿宋_GB2312" w:hAnsi="Calibri" w:eastAsia="仿宋_GB2312"/>
          <w:sz w:val="32"/>
          <w:szCs w:val="32"/>
        </w:rPr>
      </w:pPr>
      <w:r>
        <w:rPr>
          <w:rFonts w:hint="eastAsia" w:ascii="仿宋_GB2312" w:hAnsi="Calibri" w:eastAsia="仿宋_GB2312"/>
          <w:sz w:val="32"/>
          <w:szCs w:val="32"/>
        </w:rPr>
        <w:t>商务合作区在国际侧为入区出区人员及行李物品提供往返浦东国际机场的接驳服务。</w:t>
      </w:r>
    </w:p>
    <w:p>
      <w:pPr>
        <w:adjustRightInd w:val="0"/>
        <w:snapToGrid w:val="0"/>
        <w:spacing w:line="560" w:lineRule="exact"/>
        <w:ind w:firstLine="640" w:firstLineChars="200"/>
        <w:rPr>
          <w:rFonts w:ascii="仿宋_GB2312" w:hAnsi="Calibri" w:eastAsia="仿宋_GB2312"/>
          <w:sz w:val="32"/>
          <w:szCs w:val="32"/>
        </w:rPr>
      </w:pPr>
      <w:r>
        <w:rPr>
          <w:rFonts w:hint="eastAsia" w:ascii="黑体" w:hAnsi="黑体" w:eastAsia="黑体"/>
          <w:sz w:val="32"/>
          <w:szCs w:val="32"/>
        </w:rPr>
        <w:t>第二十三条</w:t>
      </w:r>
      <w:r>
        <w:rPr>
          <w:rFonts w:hint="eastAsia" w:ascii="仿宋_GB2312" w:hAnsi="Calibri" w:eastAsia="仿宋_GB2312"/>
          <w:sz w:val="32"/>
          <w:szCs w:val="32"/>
        </w:rPr>
        <w:t>（金融服务和数据流动）</w:t>
      </w:r>
    </w:p>
    <w:p>
      <w:pPr>
        <w:adjustRightInd w:val="0"/>
        <w:snapToGrid w:val="0"/>
        <w:spacing w:line="560" w:lineRule="exact"/>
        <w:ind w:firstLine="640" w:firstLineChars="200"/>
        <w:rPr>
          <w:rFonts w:hint="eastAsia" w:ascii="仿宋_GB2312" w:hAnsi="Calibri" w:eastAsia="仿宋_GB2312"/>
          <w:sz w:val="32"/>
          <w:szCs w:val="32"/>
        </w:rPr>
      </w:pPr>
      <w:r>
        <w:rPr>
          <w:rFonts w:hint="eastAsia" w:ascii="仿宋_GB2312" w:hAnsi="Calibri" w:eastAsia="仿宋_GB2312"/>
          <w:sz w:val="32"/>
          <w:szCs w:val="32"/>
        </w:rPr>
        <w:t>商务合作区按照国家规定完善外币兑换设施，优化外汇兑付环境，扩大银行卡受理覆盖面，推动商户支持受理多种支付方式，为</w:t>
      </w:r>
      <w:r>
        <w:rPr>
          <w:rFonts w:ascii="仿宋_GB2312" w:hAnsi="Calibri" w:eastAsia="仿宋_GB2312"/>
          <w:sz w:val="32"/>
          <w:szCs w:val="32"/>
        </w:rPr>
        <w:t>区内</w:t>
      </w:r>
      <w:r>
        <w:rPr>
          <w:rFonts w:hint="eastAsia" w:ascii="仿宋_GB2312" w:hAnsi="Calibri" w:eastAsia="仿宋_GB2312"/>
          <w:sz w:val="32"/>
          <w:szCs w:val="32"/>
        </w:rPr>
        <w:t>人员提供便利的支付服务和</w:t>
      </w:r>
      <w:r>
        <w:rPr>
          <w:rFonts w:hint="eastAsia"/>
          <w:sz w:val="32"/>
          <w:szCs w:val="32"/>
          <w:lang w:val="en-US" w:eastAsia="zh-CN"/>
        </w:rPr>
        <w:t>优质的</w:t>
      </w:r>
      <w:r>
        <w:rPr>
          <w:rFonts w:hint="eastAsia" w:ascii="仿宋_GB2312" w:hAnsi="Calibri" w:eastAsia="仿宋_GB2312"/>
          <w:sz w:val="32"/>
          <w:szCs w:val="32"/>
        </w:rPr>
        <w:t>消费体验。</w:t>
      </w:r>
    </w:p>
    <w:p>
      <w:pPr>
        <w:adjustRightInd w:val="0"/>
        <w:snapToGrid w:val="0"/>
        <w:spacing w:line="560" w:lineRule="exact"/>
        <w:ind w:firstLine="640" w:firstLineChars="200"/>
        <w:rPr>
          <w:rFonts w:hint="eastAsia" w:ascii="仿宋_GB2312" w:hAnsi="Calibri" w:eastAsia="仿宋_GB2312"/>
          <w:sz w:val="32"/>
          <w:szCs w:val="32"/>
        </w:rPr>
      </w:pPr>
      <w:r>
        <w:rPr>
          <w:rFonts w:hint="eastAsia" w:ascii="仿宋_GB2312" w:hAnsi="Calibri" w:eastAsia="仿宋_GB2312"/>
          <w:sz w:val="32"/>
          <w:szCs w:val="32"/>
        </w:rPr>
        <w:t>本市支持商务合作区数据依法有序自由流动。</w:t>
      </w:r>
    </w:p>
    <w:p>
      <w:pPr>
        <w:adjustRightInd w:val="0"/>
        <w:snapToGrid w:val="0"/>
        <w:spacing w:line="560" w:lineRule="exact"/>
        <w:ind w:firstLine="640" w:firstLineChars="200"/>
        <w:rPr>
          <w:rFonts w:ascii="仿宋_GB2312" w:hAnsi="Calibri" w:eastAsia="仿宋_GB2312"/>
          <w:sz w:val="32"/>
          <w:szCs w:val="32"/>
        </w:rPr>
      </w:pPr>
      <w:r>
        <w:rPr>
          <w:rFonts w:hint="eastAsia" w:ascii="黑体" w:hAnsi="黑体" w:eastAsia="黑体"/>
          <w:sz w:val="32"/>
          <w:szCs w:val="32"/>
        </w:rPr>
        <w:t>第二十四条</w:t>
      </w:r>
      <w:r>
        <w:rPr>
          <w:rFonts w:hint="eastAsia" w:ascii="仿宋_GB2312" w:hAnsi="Calibri" w:eastAsia="仿宋_GB2312"/>
          <w:sz w:val="32"/>
          <w:szCs w:val="32"/>
        </w:rPr>
        <w:t>（人才服务）</w:t>
      </w:r>
    </w:p>
    <w:p>
      <w:pPr>
        <w:adjustRightInd w:val="0"/>
        <w:snapToGrid w:val="0"/>
        <w:spacing w:line="560" w:lineRule="exact"/>
        <w:ind w:firstLine="640" w:firstLineChars="200"/>
        <w:rPr>
          <w:rFonts w:ascii="仿宋_GB2312" w:hAnsi="Calibri" w:eastAsia="仿宋_GB2312"/>
          <w:sz w:val="32"/>
          <w:szCs w:val="32"/>
        </w:rPr>
      </w:pPr>
      <w:r>
        <w:rPr>
          <w:rFonts w:hint="eastAsia" w:ascii="仿宋_GB2312" w:hAnsi="Calibri" w:eastAsia="仿宋_GB2312"/>
          <w:sz w:val="32"/>
          <w:szCs w:val="32"/>
        </w:rPr>
        <w:t>本市为</w:t>
      </w:r>
      <w:r>
        <w:rPr>
          <w:rFonts w:hint="eastAsia" w:ascii="仿宋_GB2312" w:eastAsia="仿宋_GB2312"/>
          <w:sz w:val="32"/>
          <w:szCs w:val="32"/>
          <w:lang w:val="en-US" w:eastAsia="zh-CN"/>
        </w:rPr>
        <w:t>国际商务相关专业服务</w:t>
      </w:r>
      <w:r>
        <w:rPr>
          <w:rFonts w:hint="eastAsia" w:ascii="仿宋_GB2312" w:hAnsi="Calibri" w:eastAsia="仿宋_GB2312"/>
          <w:sz w:val="32"/>
          <w:szCs w:val="32"/>
        </w:rPr>
        <w:t>人才在商务合作区开展专业服务提供便利，允许具有经国家认可的境外职业资格的境外专业人才按照规定提供专业服务。</w:t>
      </w:r>
    </w:p>
    <w:p>
      <w:pPr>
        <w:adjustRightInd w:val="0"/>
        <w:snapToGrid w:val="0"/>
        <w:spacing w:line="560" w:lineRule="exact"/>
        <w:jc w:val="center"/>
        <w:rPr>
          <w:rFonts w:ascii="黑体" w:hAnsi="黑体" w:eastAsia="黑体"/>
          <w:sz w:val="32"/>
          <w:szCs w:val="32"/>
        </w:rPr>
      </w:pPr>
    </w:p>
    <w:p>
      <w:pPr>
        <w:adjustRightInd w:val="0"/>
        <w:snapToGrid w:val="0"/>
        <w:spacing w:line="560" w:lineRule="exact"/>
        <w:jc w:val="center"/>
        <w:rPr>
          <w:rFonts w:ascii="黑体" w:hAnsi="黑体" w:eastAsia="黑体"/>
          <w:sz w:val="32"/>
          <w:szCs w:val="32"/>
        </w:rPr>
      </w:pPr>
      <w:r>
        <w:rPr>
          <w:rFonts w:hint="eastAsia" w:ascii="黑体" w:hAnsi="黑体" w:eastAsia="黑体"/>
          <w:sz w:val="32"/>
          <w:szCs w:val="32"/>
        </w:rPr>
        <w:t>第七章 综合保障</w:t>
      </w:r>
    </w:p>
    <w:p>
      <w:pPr>
        <w:adjustRightInd w:val="0"/>
        <w:snapToGrid w:val="0"/>
        <w:spacing w:line="560" w:lineRule="exact"/>
        <w:ind w:firstLine="640" w:firstLineChars="200"/>
        <w:rPr>
          <w:rFonts w:ascii="黑体" w:hAnsi="黑体" w:eastAsia="黑体"/>
          <w:sz w:val="32"/>
          <w:szCs w:val="32"/>
        </w:rPr>
      </w:pPr>
    </w:p>
    <w:p>
      <w:pPr>
        <w:adjustRightInd w:val="0"/>
        <w:snapToGrid w:val="0"/>
        <w:spacing w:line="560" w:lineRule="exact"/>
        <w:ind w:firstLine="640" w:firstLineChars="200"/>
        <w:rPr>
          <w:rFonts w:ascii="仿宋_GB2312" w:hAnsi="Calibri" w:eastAsia="仿宋_GB2312"/>
          <w:sz w:val="32"/>
          <w:szCs w:val="32"/>
        </w:rPr>
      </w:pPr>
      <w:r>
        <w:rPr>
          <w:rFonts w:hint="eastAsia" w:ascii="黑体" w:hAnsi="黑体" w:eastAsia="黑体"/>
          <w:sz w:val="32"/>
          <w:szCs w:val="32"/>
        </w:rPr>
        <w:t>第二十五条</w:t>
      </w:r>
      <w:r>
        <w:rPr>
          <w:rFonts w:hint="eastAsia" w:ascii="仿宋_GB2312" w:hAnsi="Calibri" w:eastAsia="仿宋_GB2312"/>
          <w:sz w:val="32"/>
          <w:szCs w:val="32"/>
        </w:rPr>
        <w:t>（封闭管理）</w:t>
      </w:r>
    </w:p>
    <w:p>
      <w:pPr>
        <w:adjustRightInd w:val="0"/>
        <w:snapToGrid w:val="0"/>
        <w:spacing w:line="560" w:lineRule="exact"/>
        <w:ind w:firstLine="640" w:firstLineChars="200"/>
        <w:rPr>
          <w:rFonts w:ascii="仿宋_GB2312" w:hAnsi="Calibri" w:eastAsia="仿宋_GB2312"/>
          <w:strike/>
          <w:sz w:val="32"/>
          <w:szCs w:val="32"/>
        </w:rPr>
      </w:pPr>
      <w:r>
        <w:rPr>
          <w:rFonts w:hint="eastAsia" w:ascii="仿宋_GB2312" w:hAnsi="Calibri" w:eastAsia="仿宋_GB2312"/>
          <w:sz w:val="32"/>
          <w:szCs w:val="32"/>
        </w:rPr>
        <w:t>商务合作区及区域东西侧联接通道，以及与浦东国际机场联接通道实行封闭式管理。商务合作区综合管理机构与海关、移民管理、民航管理等部门通过智慧化手段和智能化设施，实施便利化管理。人员、交通运输工具等不得擅自穿越封闭边界或者破坏边界隔离设施。</w:t>
      </w:r>
    </w:p>
    <w:p>
      <w:pPr>
        <w:adjustRightInd w:val="0"/>
        <w:snapToGrid w:val="0"/>
        <w:spacing w:line="560" w:lineRule="exact"/>
        <w:ind w:firstLine="640" w:firstLineChars="200"/>
        <w:rPr>
          <w:rFonts w:ascii="仿宋_GB2312" w:hAnsi="Calibri" w:eastAsia="仿宋_GB2312"/>
          <w:sz w:val="32"/>
          <w:szCs w:val="32"/>
        </w:rPr>
      </w:pPr>
      <w:r>
        <w:rPr>
          <w:rFonts w:hint="eastAsia" w:ascii="仿宋_GB2312" w:hAnsi="Calibri" w:eastAsia="仿宋_GB2312"/>
          <w:sz w:val="32"/>
          <w:szCs w:val="32"/>
        </w:rPr>
        <w:t>商务合作区区内交通与区外交通应当严格区分，除特定用途车辆外，区外车辆不得入内。符合入区出区条件的特定用途车辆，国内机构应当通过综合服务平台进行预约登记。商务合作区设置应急通道，对应急车辆入区出区提供便利。</w:t>
      </w:r>
    </w:p>
    <w:p>
      <w:pPr>
        <w:adjustRightInd w:val="0"/>
        <w:snapToGrid w:val="0"/>
        <w:spacing w:line="560" w:lineRule="exact"/>
        <w:ind w:firstLine="640" w:firstLineChars="200"/>
        <w:rPr>
          <w:rFonts w:ascii="仿宋_GB2312" w:hAnsi="Calibri" w:eastAsia="仿宋_GB2312"/>
          <w:sz w:val="32"/>
          <w:szCs w:val="32"/>
        </w:rPr>
      </w:pPr>
      <w:r>
        <w:rPr>
          <w:rFonts w:hint="eastAsia" w:ascii="黑体" w:hAnsi="黑体" w:eastAsia="黑体"/>
          <w:sz w:val="32"/>
          <w:szCs w:val="32"/>
        </w:rPr>
        <w:t>第二十六条</w:t>
      </w:r>
      <w:r>
        <w:rPr>
          <w:rFonts w:hint="eastAsia" w:ascii="仿宋_GB2312" w:hAnsi="Calibri" w:eastAsia="仿宋_GB2312"/>
          <w:sz w:val="32"/>
          <w:szCs w:val="32"/>
        </w:rPr>
        <w:t>（协调联动）</w:t>
      </w:r>
    </w:p>
    <w:p>
      <w:pPr>
        <w:adjustRightInd w:val="0"/>
        <w:snapToGrid w:val="0"/>
        <w:spacing w:line="560" w:lineRule="exact"/>
        <w:ind w:firstLine="640" w:firstLineChars="200"/>
        <w:rPr>
          <w:rFonts w:ascii="仿宋_GB2312" w:hAnsi="Calibri" w:eastAsia="仿宋_GB2312"/>
          <w:sz w:val="32"/>
          <w:szCs w:val="32"/>
        </w:rPr>
      </w:pPr>
      <w:r>
        <w:rPr>
          <w:rFonts w:hint="eastAsia" w:ascii="仿宋_GB2312" w:hAnsi="Calibri" w:eastAsia="仿宋_GB2312"/>
          <w:sz w:val="32"/>
          <w:szCs w:val="32"/>
        </w:rPr>
        <w:t>商务合作区综合管理机构会同海关、移民管理、公安等部门以及机场管理机构等建立商务合作区运行指挥平台，加强商务合作区日常运行综合管理与调度、突发事件应急处置的指挥与协同、重大会议和重要活动保障等。</w:t>
      </w:r>
    </w:p>
    <w:p>
      <w:pPr>
        <w:adjustRightInd w:val="0"/>
        <w:snapToGrid w:val="0"/>
        <w:spacing w:line="560" w:lineRule="exact"/>
        <w:ind w:firstLine="640" w:firstLineChars="200"/>
        <w:rPr>
          <w:rFonts w:ascii="仿宋_GB2312" w:hAnsi="Calibri" w:eastAsia="仿宋_GB2312"/>
          <w:sz w:val="32"/>
          <w:szCs w:val="32"/>
        </w:rPr>
      </w:pPr>
      <w:r>
        <w:rPr>
          <w:rFonts w:hint="eastAsia" w:ascii="黑体" w:hAnsi="黑体" w:eastAsia="黑体"/>
          <w:sz w:val="32"/>
          <w:szCs w:val="32"/>
        </w:rPr>
        <w:t>第二十七条</w:t>
      </w:r>
      <w:r>
        <w:rPr>
          <w:rFonts w:hint="eastAsia" w:ascii="仿宋_GB2312" w:hAnsi="Calibri" w:eastAsia="仿宋_GB2312"/>
          <w:sz w:val="32"/>
          <w:szCs w:val="32"/>
        </w:rPr>
        <w:t>（信用管理）</w:t>
      </w:r>
    </w:p>
    <w:p>
      <w:pPr>
        <w:adjustRightInd w:val="0"/>
        <w:snapToGrid w:val="0"/>
        <w:spacing w:line="560" w:lineRule="exact"/>
        <w:ind w:firstLine="640" w:firstLineChars="200"/>
        <w:rPr>
          <w:rFonts w:hint="eastAsia" w:ascii="仿宋_GB2312" w:hAnsi="Calibri" w:eastAsia="仿宋_GB2312"/>
          <w:sz w:val="32"/>
          <w:szCs w:val="32"/>
        </w:rPr>
      </w:pPr>
      <w:r>
        <w:rPr>
          <w:rFonts w:hint="eastAsia" w:ascii="仿宋_GB2312" w:hAnsi="Calibri" w:eastAsia="仿宋_GB2312"/>
          <w:sz w:val="32"/>
          <w:szCs w:val="32"/>
        </w:rPr>
        <w:t>商务合作区建立健全信用管理机制，深化各相关部门合作，推动信用数据共享和信用评价互认，实施分级分类管理，依法采取守信激励和失信惩戒措施。</w:t>
      </w:r>
    </w:p>
    <w:p>
      <w:pPr>
        <w:adjustRightInd w:val="0"/>
        <w:snapToGrid w:val="0"/>
        <w:spacing w:line="560" w:lineRule="exact"/>
        <w:jc w:val="center"/>
        <w:rPr>
          <w:rFonts w:ascii="黑体" w:hAnsi="黑体" w:eastAsia="黑体"/>
          <w:sz w:val="32"/>
          <w:szCs w:val="32"/>
        </w:rPr>
      </w:pPr>
    </w:p>
    <w:p>
      <w:pPr>
        <w:adjustRightInd w:val="0"/>
        <w:snapToGrid w:val="0"/>
        <w:spacing w:line="560" w:lineRule="exact"/>
        <w:jc w:val="center"/>
        <w:rPr>
          <w:rFonts w:ascii="黑体" w:hAnsi="黑体" w:eastAsia="黑体"/>
          <w:sz w:val="32"/>
          <w:szCs w:val="32"/>
        </w:rPr>
      </w:pPr>
      <w:r>
        <w:rPr>
          <w:rFonts w:hint="eastAsia" w:ascii="黑体" w:hAnsi="黑体" w:eastAsia="黑体"/>
          <w:sz w:val="32"/>
          <w:szCs w:val="32"/>
        </w:rPr>
        <w:t>第八章 附</w:t>
      </w:r>
      <w:r>
        <w:rPr>
          <w:rFonts w:hint="eastAsia" w:ascii="黑体" w:hAnsi="黑体" w:eastAsia="黑体"/>
          <w:sz w:val="32"/>
          <w:szCs w:val="32"/>
          <w:lang w:val="en-US" w:eastAsia="zh-CN"/>
        </w:rPr>
        <w:t xml:space="preserve">  </w:t>
      </w:r>
      <w:r>
        <w:rPr>
          <w:rFonts w:hint="eastAsia" w:ascii="黑体" w:hAnsi="黑体" w:eastAsia="黑体"/>
          <w:sz w:val="32"/>
          <w:szCs w:val="32"/>
        </w:rPr>
        <w:t>则</w:t>
      </w:r>
    </w:p>
    <w:p>
      <w:pPr>
        <w:adjustRightInd w:val="0"/>
        <w:snapToGrid w:val="0"/>
        <w:spacing w:line="560" w:lineRule="exact"/>
        <w:ind w:firstLine="640" w:firstLineChars="200"/>
        <w:rPr>
          <w:rFonts w:ascii="仿宋_GB2312" w:hAnsi="Calibri" w:eastAsia="仿宋_GB2312"/>
          <w:sz w:val="32"/>
          <w:szCs w:val="32"/>
        </w:rPr>
      </w:pPr>
    </w:p>
    <w:p>
      <w:pPr>
        <w:adjustRightInd w:val="0"/>
        <w:snapToGrid w:val="0"/>
        <w:spacing w:line="560" w:lineRule="exact"/>
        <w:ind w:firstLine="640" w:firstLineChars="200"/>
        <w:rPr>
          <w:rFonts w:ascii="仿宋_GB2312" w:hAnsi="Calibri" w:eastAsia="仿宋_GB2312"/>
          <w:sz w:val="32"/>
          <w:szCs w:val="32"/>
        </w:rPr>
      </w:pPr>
      <w:r>
        <w:rPr>
          <w:rFonts w:hint="eastAsia" w:ascii="黑体" w:hAnsi="黑体" w:eastAsia="黑体"/>
          <w:sz w:val="32"/>
          <w:szCs w:val="32"/>
        </w:rPr>
        <w:t>第二十八条</w:t>
      </w:r>
      <w:r>
        <w:rPr>
          <w:rFonts w:hint="eastAsia" w:ascii="仿宋_GB2312" w:hAnsi="Calibri" w:eastAsia="仿宋_GB2312"/>
          <w:sz w:val="32"/>
          <w:szCs w:val="32"/>
        </w:rPr>
        <w:t>（实施细则）</w:t>
      </w:r>
    </w:p>
    <w:p>
      <w:pPr>
        <w:adjustRightInd w:val="0"/>
        <w:snapToGrid w:val="0"/>
        <w:spacing w:line="560" w:lineRule="exact"/>
        <w:ind w:firstLine="640" w:firstLineChars="200"/>
        <w:rPr>
          <w:rFonts w:ascii="仿宋_GB2312" w:hAnsi="Calibri" w:eastAsia="仿宋_GB2312"/>
          <w:sz w:val="32"/>
          <w:szCs w:val="32"/>
        </w:rPr>
      </w:pPr>
      <w:r>
        <w:rPr>
          <w:rFonts w:hint="eastAsia" w:ascii="仿宋_GB2312" w:hAnsi="Calibri" w:eastAsia="仿宋_GB2312"/>
          <w:sz w:val="32"/>
          <w:szCs w:val="32"/>
        </w:rPr>
        <w:t>市有关部门、浦东新区人民政府可以根据本办法，结合商务合作区实际情况和工作需要，制定实施细则。</w:t>
      </w:r>
    </w:p>
    <w:p>
      <w:pPr>
        <w:adjustRightInd w:val="0"/>
        <w:snapToGrid w:val="0"/>
        <w:spacing w:line="560" w:lineRule="exact"/>
        <w:ind w:firstLine="640" w:firstLineChars="200"/>
        <w:rPr>
          <w:rFonts w:ascii="仿宋_GB2312" w:hAnsi="Calibri" w:eastAsia="仿宋_GB2312"/>
          <w:sz w:val="32"/>
          <w:szCs w:val="32"/>
        </w:rPr>
      </w:pPr>
      <w:r>
        <w:rPr>
          <w:rFonts w:hint="eastAsia" w:ascii="黑体" w:hAnsi="黑体" w:eastAsia="黑体"/>
          <w:sz w:val="32"/>
          <w:szCs w:val="32"/>
        </w:rPr>
        <w:t>第二十</w:t>
      </w:r>
      <w:r>
        <w:rPr>
          <w:rFonts w:ascii="黑体" w:hAnsi="黑体" w:eastAsia="黑体"/>
          <w:sz w:val="32"/>
          <w:szCs w:val="32"/>
        </w:rPr>
        <w:t>九</w:t>
      </w:r>
      <w:r>
        <w:rPr>
          <w:rFonts w:hint="eastAsia" w:ascii="黑体" w:hAnsi="黑体" w:eastAsia="黑体"/>
          <w:sz w:val="32"/>
          <w:szCs w:val="32"/>
        </w:rPr>
        <w:t>条</w:t>
      </w:r>
      <w:r>
        <w:rPr>
          <w:rFonts w:hint="eastAsia" w:ascii="仿宋_GB2312" w:hAnsi="Calibri" w:eastAsia="仿宋_GB2312"/>
          <w:sz w:val="32"/>
          <w:szCs w:val="32"/>
        </w:rPr>
        <w:t>（其他适用）</w:t>
      </w:r>
    </w:p>
    <w:p>
      <w:pPr>
        <w:adjustRightInd w:val="0"/>
        <w:snapToGrid w:val="0"/>
        <w:spacing w:line="560" w:lineRule="exact"/>
        <w:ind w:firstLine="640" w:firstLineChars="200"/>
        <w:rPr>
          <w:rFonts w:ascii="仿宋_GB2312" w:hAnsi="Calibri" w:eastAsia="仿宋_GB2312"/>
          <w:sz w:val="32"/>
          <w:szCs w:val="32"/>
        </w:rPr>
      </w:pPr>
      <w:r>
        <w:rPr>
          <w:rFonts w:hint="eastAsia" w:ascii="仿宋_GB2312" w:hAnsi="Calibri" w:eastAsia="仿宋_GB2312"/>
          <w:sz w:val="32"/>
          <w:szCs w:val="32"/>
        </w:rPr>
        <w:t>国家有关适用于商务合作区改革试点措施调整，或者国家规定其他区域改革试点措施适用于商务合作区的，按照国家规定执行。</w:t>
      </w:r>
    </w:p>
    <w:p>
      <w:pPr>
        <w:adjustRightInd w:val="0"/>
        <w:snapToGrid w:val="0"/>
        <w:spacing w:line="560" w:lineRule="exact"/>
        <w:ind w:firstLine="640" w:firstLineChars="200"/>
        <w:rPr>
          <w:rFonts w:ascii="仿宋_GB2312" w:hAnsi="Calibri" w:eastAsia="仿宋_GB2312"/>
          <w:sz w:val="32"/>
          <w:szCs w:val="32"/>
        </w:rPr>
      </w:pPr>
      <w:r>
        <w:rPr>
          <w:rFonts w:hint="eastAsia" w:ascii="黑体" w:hAnsi="黑体" w:eastAsia="黑体"/>
          <w:sz w:val="32"/>
          <w:szCs w:val="32"/>
        </w:rPr>
        <w:t>第</w:t>
      </w:r>
      <w:r>
        <w:rPr>
          <w:rFonts w:ascii="黑体" w:hAnsi="黑体" w:eastAsia="黑体"/>
          <w:sz w:val="32"/>
          <w:szCs w:val="32"/>
        </w:rPr>
        <w:t>三十</w:t>
      </w:r>
      <w:r>
        <w:rPr>
          <w:rFonts w:hint="eastAsia" w:ascii="黑体" w:hAnsi="黑体" w:eastAsia="黑体"/>
          <w:sz w:val="32"/>
          <w:szCs w:val="32"/>
        </w:rPr>
        <w:t>条</w:t>
      </w:r>
      <w:r>
        <w:rPr>
          <w:rFonts w:hint="eastAsia" w:ascii="仿宋_GB2312" w:hAnsi="Calibri" w:eastAsia="仿宋_GB2312"/>
          <w:sz w:val="32"/>
          <w:szCs w:val="32"/>
        </w:rPr>
        <w:t>（实施日期）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560" w:lineRule="exact"/>
        <w:ind w:left="0" w:right="0" w:firstLine="640" w:firstLineChars="200"/>
        <w:jc w:val="left"/>
        <w:textAlignment w:val="auto"/>
        <w:outlineLvl w:val="9"/>
        <w:rPr>
          <w:rFonts w:hint="eastAsia" w:ascii="仿宋_GB2312" w:hAnsi="仿宋_GB2312" w:eastAsia="仿宋_GB2312" w:cs="仿宋_GB2312"/>
          <w:color w:val="auto"/>
          <w:sz w:val="32"/>
          <w:szCs w:val="32"/>
        </w:rPr>
      </w:pPr>
      <w:r>
        <w:rPr>
          <w:rFonts w:hint="eastAsia" w:ascii="仿宋_GB2312" w:hAnsi="Calibri" w:eastAsia="仿宋_GB2312"/>
          <w:sz w:val="32"/>
          <w:szCs w:val="32"/>
        </w:rPr>
        <w:t>本办法自</w:t>
      </w:r>
      <w:r>
        <w:rPr>
          <w:rFonts w:hint="eastAsia"/>
          <w:sz w:val="32"/>
          <w:szCs w:val="32"/>
          <w:lang w:val="en-US" w:eastAsia="zh-CN"/>
        </w:rPr>
        <w:t>2025</w:t>
      </w:r>
      <w:r>
        <w:rPr>
          <w:rFonts w:hint="eastAsia" w:ascii="仿宋_GB2312" w:hAnsi="Calibri" w:eastAsia="仿宋_GB2312"/>
          <w:sz w:val="32"/>
          <w:szCs w:val="32"/>
        </w:rPr>
        <w:t>年</w:t>
      </w:r>
      <w:r>
        <w:rPr>
          <w:rFonts w:hint="eastAsia"/>
          <w:sz w:val="32"/>
          <w:szCs w:val="32"/>
          <w:lang w:val="en-US" w:eastAsia="zh-CN"/>
        </w:rPr>
        <w:t>8</w:t>
      </w:r>
      <w:r>
        <w:rPr>
          <w:rFonts w:hint="eastAsia" w:ascii="仿宋_GB2312" w:hAnsi="Calibri" w:eastAsia="仿宋_GB2312"/>
          <w:sz w:val="32"/>
          <w:szCs w:val="32"/>
        </w:rPr>
        <w:t>月</w:t>
      </w:r>
      <w:r>
        <w:rPr>
          <w:rFonts w:hint="eastAsia"/>
          <w:sz w:val="32"/>
          <w:szCs w:val="32"/>
          <w:lang w:val="en-US" w:eastAsia="zh-CN"/>
        </w:rPr>
        <w:t>1</w:t>
      </w:r>
      <w:r>
        <w:rPr>
          <w:rFonts w:hint="eastAsia" w:ascii="仿宋_GB2312" w:hAnsi="Calibri" w:eastAsia="仿宋_GB2312"/>
          <w:sz w:val="32"/>
          <w:szCs w:val="32"/>
        </w:rPr>
        <w:t>日起施行。</w:t>
      </w:r>
    </w:p>
    <w:p>
      <w:pPr>
        <w:keepNext w:val="0"/>
        <w:keepLines w:val="0"/>
        <w:pageBreakBefore w:val="0"/>
        <w:kinsoku/>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p>
    <w:p/>
    <w:p/>
    <w:p>
      <w:pPr>
        <w:ind w:firstLine="640" w:firstLineChars="200"/>
        <w:rPr>
          <w:rFonts w:ascii="仿宋_GB2312" w:hAnsi="仿宋_GB2312" w:eastAsia="仿宋_GB2312" w:cs="仿宋_GB2312"/>
          <w:color w:val="333333"/>
          <w:sz w:val="32"/>
          <w:szCs w:val="32"/>
          <w:shd w:val="clear" w:color="auto" w:fill="FFFFFF"/>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宋体S-超大字符集">
    <w:panose1 w:val="02000000000000000000"/>
    <w:charset w:val="86"/>
    <w:family w:val="auto"/>
    <w:pitch w:val="default"/>
    <w:sig w:usb0="00000001" w:usb1="08000000" w:usb2="00000000" w:usb3="00000000" w:csb0="00040000" w:csb1="00000000"/>
  </w:font>
  <w:font w:name="CESI楷体-GB2312">
    <w:panose1 w:val="02000500000000000000"/>
    <w:charset w:val="86"/>
    <w:family w:val="auto"/>
    <w:pitch w:val="default"/>
    <w:sig w:usb0="800002BF" w:usb1="184F6CF8" w:usb2="00000012" w:usb3="00000000" w:csb0="0004000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4788" w:leftChars="2280" w:firstLine="6400" w:firstLineChars="2000"/>
      <w:rPr>
        <w:rFonts w:eastAsia="仿宋"/>
        <w:sz w:val="32"/>
        <w:szCs w:val="48"/>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MgtGFA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LEyC0YUAgAAGQQAAA4AAAAAAAAAAQAgAAAANQEAAGRycy9lMm9Eb2MueG1sUEsFBgAAAAAGAAYA&#10;WQEAALsFAAAAAA==&#10;">
              <v:fill on="f" focussize="0,0"/>
              <v:stroke on="f" weight="0.5pt"/>
              <v:imagedata o:title=""/>
              <o:lock v:ext="edit" aspectratio="f"/>
              <v:textbox inset="0mm,0mm,0mm,0mm" style="mso-fit-shape-to-text:t;">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8"/>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上海市人民政府发布     </w:t>
    </w:r>
  </w:p>
  <w:p>
    <w:pPr>
      <w:pStyle w:val="8"/>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8"/>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上海市人民政府规章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A244C"/>
    <w:rsid w:val="00C21F50"/>
    <w:rsid w:val="00C614A6"/>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D0E3F22"/>
    <w:rsid w:val="7C9011D9"/>
    <w:rsid w:val="7DC651C5"/>
    <w:rsid w:val="7E62CF57"/>
    <w:rsid w:val="7FCC2834"/>
    <w:rsid w:val="7FD617F4"/>
    <w:rsid w:val="F2FC5384"/>
    <w:rsid w:val="F7BF4E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99"/>
    <w:pPr>
      <w:spacing w:before="100" w:beforeAutospacing="1" w:after="120"/>
    </w:pPr>
  </w:style>
  <w:style w:type="paragraph" w:styleId="3">
    <w:name w:val="annotation text"/>
    <w:basedOn w:val="1"/>
    <w:qFormat/>
    <w:uiPriority w:val="0"/>
    <w:pPr>
      <w:jc w:val="left"/>
    </w:pPr>
  </w:style>
  <w:style w:type="paragraph" w:styleId="4">
    <w:name w:val="Body Text Indent"/>
    <w:qFormat/>
    <w:uiPriority w:val="0"/>
    <w:pPr>
      <w:widowControl w:val="0"/>
      <w:suppressAutoHyphens/>
      <w:ind w:firstLine="480" w:firstLineChars="200"/>
      <w:jc w:val="both"/>
    </w:pPr>
    <w:rPr>
      <w:rFonts w:ascii="Calibri" w:hAnsi="Calibri" w:eastAsia="宋体" w:cs="宋体"/>
      <w:kern w:val="2"/>
      <w:sz w:val="21"/>
      <w:szCs w:val="24"/>
      <w:lang w:val="en-US" w:eastAsia="zh-CN" w:bidi="ar-SA"/>
    </w:rPr>
  </w:style>
  <w:style w:type="paragraph" w:styleId="5">
    <w:name w:val="toc 3"/>
    <w:basedOn w:val="1"/>
    <w:next w:val="1"/>
    <w:unhideWhenUsed/>
    <w:qFormat/>
    <w:uiPriority w:val="39"/>
    <w:pPr>
      <w:widowControl/>
      <w:kinsoku w:val="0"/>
      <w:autoSpaceDE w:val="0"/>
      <w:autoSpaceDN w:val="0"/>
      <w:adjustRightInd w:val="0"/>
      <w:snapToGrid w:val="0"/>
      <w:spacing w:line="600" w:lineRule="exact"/>
      <w:ind w:firstLine="640" w:firstLineChars="200"/>
      <w:textAlignment w:val="baseline"/>
    </w:pPr>
    <w:rPr>
      <w:rFonts w:ascii="楷体_GB2312" w:hAnsi="楷体" w:eastAsia="楷体_GB2312" w:cs="仿宋"/>
      <w:snapToGrid w:val="0"/>
      <w:color w:val="000000"/>
      <w:kern w:val="0"/>
      <w:sz w:val="32"/>
      <w:szCs w:val="32"/>
      <w:lang w:eastAsia="en-US"/>
    </w:rPr>
  </w:style>
  <w:style w:type="paragraph" w:styleId="6">
    <w:name w:val="Balloon Text"/>
    <w:basedOn w:val="1"/>
    <w:link w:val="13"/>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11">
    <w:name w:val="Strong"/>
    <w:basedOn w:val="10"/>
    <w:qFormat/>
    <w:uiPriority w:val="22"/>
    <w:rPr>
      <w:b/>
      <w:bCs/>
    </w:rPr>
  </w:style>
  <w:style w:type="character" w:styleId="12">
    <w:name w:val="annotation reference"/>
    <w:basedOn w:val="10"/>
    <w:qFormat/>
    <w:uiPriority w:val="0"/>
    <w:rPr>
      <w:sz w:val="21"/>
      <w:szCs w:val="21"/>
    </w:rPr>
  </w:style>
  <w:style w:type="character" w:customStyle="1" w:styleId="13">
    <w:name w:val="批注框文本 Char"/>
    <w:basedOn w:val="10"/>
    <w:link w:val="6"/>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111</Words>
  <Characters>638</Characters>
  <Lines>5</Lines>
  <Paragraphs>1</Paragraphs>
  <TotalTime>0</TotalTime>
  <ScaleCrop>false</ScaleCrop>
  <LinksUpToDate>false</LinksUpToDate>
  <CharactersWithSpaces>748</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2021-09-10T10:41:00Z</dcterms:created>
  <dc:creator>t</dc:creator>
  <cp:lastModifiedBy>user</cp:lastModifiedBy>
  <cp:lastPrinted>2021-10-27T11:30:00Z</cp:lastPrinted>
  <dcterms:modified xsi:type="dcterms:W3CDTF">2025-08-12T09:26:05Z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48C61CB29D3F4D9384F5922CF0F7FFB4</vt:lpwstr>
  </property>
</Properties>
</file>