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宋体" w:hAnsi="宋体" w:eastAsia="宋体" w:cs="宋体"/>
          <w:color w:val="FF0000"/>
          <w:sz w:val="32"/>
          <w:szCs w:val="32"/>
        </w:rPr>
      </w:pPr>
    </w:p>
    <w:p>
      <w:pPr>
        <w:pStyle w:val="5"/>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宋体" w:hAnsi="宋体" w:eastAsia="宋体" w:cs="宋体"/>
          <w:color w:val="FF0000"/>
          <w:sz w:val="32"/>
          <w:szCs w:val="32"/>
        </w:rPr>
      </w:pPr>
    </w:p>
    <w:p>
      <w:pPr>
        <w:pStyle w:val="5"/>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宋体" w:hAnsi="宋体" w:eastAsia="宋体" w:cs="宋体"/>
          <w:color w:val="FF0000"/>
          <w:sz w:val="32"/>
          <w:szCs w:val="32"/>
        </w:rPr>
      </w:pPr>
    </w:p>
    <w:p>
      <w:pPr>
        <w:keepNext w:val="0"/>
        <w:keepLines w:val="0"/>
        <w:pageBreakBefore w:val="0"/>
        <w:widowControl w:val="0"/>
        <w:pBdr>
          <w:bottom w:val="single" w:color="FF0000" w:sz="12" w:space="1"/>
        </w:pBdr>
        <w:kinsoku/>
        <w:wordWrap/>
        <w:overflowPunct/>
        <w:topLinePunct w:val="0"/>
        <w:autoSpaceDE/>
        <w:autoSpaceDN/>
        <w:bidi w:val="0"/>
        <w:adjustRightInd/>
        <w:snapToGrid/>
        <w:spacing w:line="240" w:lineRule="auto"/>
        <w:jc w:val="center"/>
        <w:textAlignment w:val="auto"/>
        <w:rPr>
          <w:rFonts w:hint="eastAsia" w:eastAsia="方正小标宋简体"/>
          <w:b/>
          <w:color w:val="FF0000"/>
          <w:spacing w:val="0"/>
          <w:w w:val="100"/>
          <w:sz w:val="72"/>
          <w:szCs w:val="72"/>
        </w:rPr>
      </w:pPr>
      <w:r>
        <w:rPr>
          <w:rFonts w:hint="eastAsia" w:eastAsia="方正小标宋简体"/>
          <w:b/>
          <w:color w:val="FF0000"/>
          <w:spacing w:val="0"/>
          <w:w w:val="100"/>
          <w:sz w:val="72"/>
          <w:szCs w:val="72"/>
        </w:rPr>
        <w:t>上海市杨浦区人民政府</w:t>
      </w:r>
      <w:r>
        <w:rPr>
          <w:rFonts w:hint="eastAsia" w:eastAsia="方正小标宋简体"/>
          <w:b/>
          <w:color w:val="FF0000"/>
          <w:spacing w:val="0"/>
          <w:w w:val="100"/>
          <w:sz w:val="72"/>
          <w:szCs w:val="72"/>
          <w:lang w:val="en-US" w:eastAsia="zh-CN"/>
        </w:rPr>
        <w:t>文件</w:t>
      </w:r>
    </w:p>
    <w:p>
      <w:pPr>
        <w:keepNext w:val="0"/>
        <w:keepLines w:val="0"/>
        <w:pageBreakBefore w:val="0"/>
        <w:widowControl w:val="0"/>
        <w:pBdr>
          <w:bottom w:val="single" w:color="FF0000" w:sz="12" w:space="1"/>
        </w:pBdr>
        <w:kinsoku/>
        <w:wordWrap/>
        <w:overflowPunct/>
        <w:topLinePunct w:val="0"/>
        <w:autoSpaceDE/>
        <w:autoSpaceDN/>
        <w:bidi w:val="0"/>
        <w:adjustRightInd/>
        <w:snapToGrid/>
        <w:spacing w:line="800" w:lineRule="exact"/>
        <w:jc w:val="center"/>
        <w:textAlignment w:val="auto"/>
        <w:rPr>
          <w:rFonts w:hint="eastAsia" w:eastAsia="方正小标宋简体"/>
          <w:b/>
          <w:color w:val="FF0000"/>
          <w:spacing w:val="23"/>
          <w:w w:val="100"/>
          <w:sz w:val="72"/>
          <w:szCs w:val="72"/>
        </w:rPr>
      </w:pPr>
    </w:p>
    <w:p>
      <w:pPr>
        <w:keepNext w:val="0"/>
        <w:keepLines w:val="0"/>
        <w:pageBreakBefore w:val="0"/>
        <w:widowControl w:val="0"/>
        <w:pBdr>
          <w:bottom w:val="single" w:color="FF0000" w:sz="12" w:space="1"/>
        </w:pBdr>
        <w:kinsoku/>
        <w:wordWrap/>
        <w:overflowPunct/>
        <w:topLinePunct w:val="0"/>
        <w:autoSpaceDE/>
        <w:autoSpaceDN/>
        <w:bidi w:val="0"/>
        <w:adjustRightInd/>
        <w:snapToGrid/>
        <w:spacing w:line="240" w:lineRule="auto"/>
        <w:jc w:val="center"/>
        <w:textAlignment w:val="auto"/>
        <w:rPr>
          <w:rFonts w:hint="eastAsia" w:eastAsia="楷体_GB2312"/>
          <w:color w:val="FF0000"/>
        </w:rPr>
      </w:pPr>
      <w:r>
        <w:rPr>
          <w:rFonts w:hint="eastAsia" w:ascii="仿宋_GB2312" w:hAnsi="华文中宋" w:eastAsia="仿宋_GB2312"/>
          <w:sz w:val="32"/>
          <w:szCs w:val="32"/>
        </w:rPr>
        <w:t>杨府</w:t>
      </w:r>
      <w:r>
        <w:rPr>
          <w:rFonts w:hint="eastAsia" w:ascii="仿宋_GB2312" w:hAnsi="华文中宋" w:eastAsia="仿宋_GB2312"/>
          <w:sz w:val="32"/>
          <w:szCs w:val="32"/>
          <w:lang w:val="en-US" w:eastAsia="zh-CN"/>
        </w:rPr>
        <w:t>发</w:t>
      </w:r>
      <w:r>
        <w:rPr>
          <w:rFonts w:hint="eastAsia" w:ascii="仿宋_GB2312" w:hAnsi="华文中宋" w:eastAsia="仿宋_GB2312"/>
          <w:sz w:val="32"/>
          <w:szCs w:val="32"/>
        </w:rPr>
        <w:t>〔202</w:t>
      </w:r>
      <w:r>
        <w:rPr>
          <w:rFonts w:hint="eastAsia" w:ascii="仿宋_GB2312" w:hAnsi="华文中宋" w:eastAsia="仿宋_GB2312"/>
          <w:sz w:val="32"/>
          <w:szCs w:val="32"/>
          <w:lang w:val="en-US" w:eastAsia="zh-CN"/>
        </w:rPr>
        <w:t>6</w:t>
      </w:r>
      <w:r>
        <w:rPr>
          <w:rFonts w:hint="eastAsia" w:ascii="仿宋_GB2312" w:hAnsi="华文中宋" w:eastAsia="仿宋_GB2312"/>
          <w:sz w:val="32"/>
          <w:szCs w:val="32"/>
        </w:rPr>
        <w:t>〕</w:t>
      </w:r>
      <w:r>
        <w:rPr>
          <w:rFonts w:hint="eastAsia" w:ascii="仿宋_GB2312" w:hAnsi="华文中宋" w:eastAsia="仿宋_GB2312"/>
          <w:sz w:val="32"/>
          <w:szCs w:val="32"/>
          <w:lang w:val="en-US" w:eastAsia="zh-CN"/>
        </w:rPr>
        <w:t>4</w:t>
      </w:r>
      <w:r>
        <w:rPr>
          <w:rFonts w:hint="eastAsia" w:ascii="仿宋_GB2312" w:hAnsi="华文中宋" w:eastAsia="仿宋_GB2312"/>
          <w:sz w:val="32"/>
          <w:szCs w:val="32"/>
        </w:rPr>
        <w:t>号</w:t>
      </w:r>
    </w:p>
    <w:p>
      <w:pPr>
        <w:keepNext w:val="0"/>
        <w:keepLines w:val="0"/>
        <w:pageBreakBefore w:val="0"/>
        <w:kinsoku/>
        <w:wordWrap/>
        <w:overflowPunct/>
        <w:topLinePunct w:val="0"/>
        <w:autoSpaceDE/>
        <w:autoSpaceDN/>
        <w:bidi w:val="0"/>
        <w:adjustRightInd/>
        <w:snapToGrid/>
        <w:spacing w:line="600" w:lineRule="exact"/>
        <w:jc w:val="both"/>
        <w:textAlignment w:val="auto"/>
        <w:rPr>
          <w:rFonts w:hint="eastAsia" w:ascii="仿宋_GB2312" w:eastAsia="仿宋_GB2312"/>
          <w:sz w:val="36"/>
          <w:szCs w:val="36"/>
        </w:rPr>
      </w:pPr>
    </w:p>
    <w:p>
      <w:pPr>
        <w:keepNext w:val="0"/>
        <w:keepLines w:val="0"/>
        <w:pageBreakBefore w:val="0"/>
        <w:widowControl w:val="0"/>
        <w:kinsoku/>
        <w:wordWrap/>
        <w:overflowPunct w:val="0"/>
        <w:topLinePunct w:val="0"/>
        <w:autoSpaceDE/>
        <w:autoSpaceDN/>
        <w:bidi w:val="0"/>
        <w:adjustRightInd w:val="0"/>
        <w:snapToGrid/>
        <w:spacing w:line="600" w:lineRule="exact"/>
        <w:ind w:left="0" w:leftChars="0" w:firstLine="0" w:firstLineChars="0"/>
        <w:jc w:val="center"/>
        <w:textAlignment w:val="auto"/>
        <w:rPr>
          <w:rFonts w:hint="eastAsia" w:ascii="方正小标宋简体" w:hAnsi="华文仿宋" w:eastAsia="方正小标宋简体" w:cs="Times New Roman"/>
          <w:b w:val="0"/>
          <w:bCs w:val="0"/>
          <w:sz w:val="44"/>
          <w:szCs w:val="44"/>
        </w:rPr>
      </w:pPr>
      <w:r>
        <w:rPr>
          <w:rFonts w:hint="eastAsia" w:ascii="方正小标宋简体" w:hAnsi="华文仿宋" w:eastAsia="方正小标宋简体" w:cs="Times New Roman"/>
          <w:b w:val="0"/>
          <w:bCs w:val="0"/>
          <w:sz w:val="44"/>
          <w:szCs w:val="44"/>
        </w:rPr>
        <w:t>上海市杨浦区人民政府</w:t>
      </w:r>
    </w:p>
    <w:p>
      <w:pPr>
        <w:keepNext w:val="0"/>
        <w:keepLines w:val="0"/>
        <w:pageBreakBefore w:val="0"/>
        <w:kinsoku/>
        <w:wordWrap/>
        <w:topLinePunct w:val="0"/>
        <w:autoSpaceDE/>
        <w:autoSpaceDN/>
        <w:bidi w:val="0"/>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关于印发《关于支持打造OPC超级个体</w:t>
      </w:r>
    </w:p>
    <w:p>
      <w:pPr>
        <w:keepNext w:val="0"/>
        <w:keepLines w:val="0"/>
        <w:pageBreakBefore w:val="0"/>
        <w:kinsoku/>
        <w:wordWrap/>
        <w:topLinePunct w:val="0"/>
        <w:autoSpaceDE/>
        <w:autoSpaceDN/>
        <w:bidi w:val="0"/>
        <w:snapToGrid/>
        <w:spacing w:line="600" w:lineRule="exact"/>
        <w:jc w:val="center"/>
        <w:textAlignment w:val="auto"/>
        <w:rPr>
          <w:rFonts w:ascii="仿宋_GB2312" w:eastAsia="仿宋_GB2312"/>
          <w:sz w:val="32"/>
          <w:szCs w:val="32"/>
        </w:rPr>
      </w:pPr>
      <w:r>
        <w:rPr>
          <w:rFonts w:hint="eastAsia" w:ascii="方正小标宋简体" w:hAnsi="方正小标宋简体" w:eastAsia="方正小标宋简体" w:cs="方正小标宋简体"/>
          <w:sz w:val="44"/>
          <w:szCs w:val="44"/>
        </w:rPr>
        <w:t>社区的若干措施》的通知</w:t>
      </w:r>
    </w:p>
    <w:p>
      <w:pPr>
        <w:keepNext w:val="0"/>
        <w:keepLines w:val="0"/>
        <w:pageBreakBefore w:val="0"/>
        <w:kinsoku/>
        <w:wordWrap/>
        <w:topLinePunct w:val="0"/>
        <w:autoSpaceDE/>
        <w:autoSpaceDN/>
        <w:bidi w:val="0"/>
        <w:snapToGrid/>
        <w:spacing w:line="600" w:lineRule="exact"/>
        <w:jc w:val="center"/>
        <w:textAlignment w:val="auto"/>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区政府各委、办、局，各街道办事处及各有关单位：</w:t>
      </w:r>
    </w:p>
    <w:p>
      <w:pPr>
        <w:keepNext w:val="0"/>
        <w:keepLines w:val="0"/>
        <w:pageBreakBefore w:val="0"/>
        <w:widowControl w:val="0"/>
        <w:kinsoku/>
        <w:wordWrap/>
        <w:overflowPunct/>
        <w:topLinePunct w:val="0"/>
        <w:autoSpaceDE/>
        <w:autoSpaceDN/>
        <w:bidi w:val="0"/>
        <w:adjustRightInd/>
        <w:snapToGrid/>
        <w:spacing w:line="600" w:lineRule="exact"/>
        <w:ind w:firstLine="63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《关于支持打造OPC超级个体社区的若干措施》已经区政府同意，现印发给你们，请认真按照执行。</w:t>
      </w:r>
    </w:p>
    <w:p>
      <w:pPr>
        <w:pStyle w:val="5"/>
        <w:keepNext w:val="0"/>
        <w:keepLines w:val="0"/>
        <w:pageBreakBefore w:val="0"/>
        <w:kinsoku/>
        <w:wordWrap/>
        <w:topLinePunct w:val="0"/>
        <w:autoSpaceDE/>
        <w:autoSpaceDN/>
        <w:bidi w:val="0"/>
        <w:snapToGrid/>
        <w:spacing w:after="0" w:line="600" w:lineRule="exact"/>
        <w:textAlignment w:val="auto"/>
        <w:rPr>
          <w:rFonts w:hint="eastAsia" w:ascii="仿宋_GB2312" w:hAnsi="仿宋_GB2312" w:eastAsia="仿宋_GB2312" w:cs="仿宋_GB2312"/>
          <w:sz w:val="32"/>
          <w:szCs w:val="32"/>
        </w:rPr>
      </w:pPr>
    </w:p>
    <w:p>
      <w:pPr>
        <w:keepNext w:val="0"/>
        <w:keepLines w:val="0"/>
        <w:pageBreakBefore w:val="0"/>
        <w:widowControl/>
        <w:suppressLineNumbers w:val="0"/>
        <w:kinsoku/>
        <w:wordWrap/>
        <w:topLinePunct w:val="0"/>
        <w:autoSpaceDE/>
        <w:autoSpaceDN/>
        <w:bidi w:val="0"/>
        <w:snapToGrid/>
        <w:spacing w:line="600" w:lineRule="exact"/>
        <w:jc w:val="right"/>
        <w:textAlignment w:val="auto"/>
        <w:rPr>
          <w:rFonts w:ascii="仿宋_GB2312" w:hAnsi="仿宋_GB2312" w:eastAsia="仿宋_GB2312" w:cs="仿宋_GB2312"/>
          <w:color w:val="000000"/>
          <w:kern w:val="0"/>
          <w:sz w:val="31"/>
          <w:szCs w:val="31"/>
          <w:lang w:val="en-US" w:eastAsia="zh-CN" w:bidi="ar"/>
        </w:rPr>
      </w:pPr>
    </w:p>
    <w:p>
      <w:pPr>
        <w:keepNext w:val="0"/>
        <w:keepLines w:val="0"/>
        <w:pageBreakBefore w:val="0"/>
        <w:widowControl/>
        <w:suppressLineNumbers w:val="0"/>
        <w:kinsoku/>
        <w:wordWrap w:val="0"/>
        <w:topLinePunct w:val="0"/>
        <w:autoSpaceDE/>
        <w:autoSpaceDN/>
        <w:bidi w:val="0"/>
        <w:snapToGrid/>
        <w:spacing w:line="600" w:lineRule="exact"/>
        <w:jc w:val="right"/>
        <w:textAlignment w:val="auto"/>
        <w:rPr>
          <w:rFonts w:hint="default" w:ascii="仿宋_GB2312" w:hAnsi="仿宋_GB2312" w:eastAsia="仿宋_GB2312" w:cs="仿宋_GB2312"/>
          <w:color w:val="000000"/>
          <w:kern w:val="0"/>
          <w:sz w:val="31"/>
          <w:szCs w:val="31"/>
          <w:lang w:val="en-US" w:eastAsia="zh-CN" w:bidi="ar"/>
        </w:rPr>
      </w:pPr>
      <w:r>
        <w:rPr>
          <w:rFonts w:ascii="仿宋_GB2312" w:hAnsi="仿宋_GB2312" w:eastAsia="仿宋_GB2312" w:cs="仿宋_GB2312"/>
          <w:color w:val="000000"/>
          <w:kern w:val="0"/>
          <w:sz w:val="31"/>
          <w:szCs w:val="31"/>
          <w:lang w:val="en-US" w:eastAsia="zh-CN" w:bidi="ar"/>
        </w:rPr>
        <w:t>上海市杨浦区人民政府</w:t>
      </w:r>
      <w:r>
        <w:rPr>
          <w:rFonts w:hint="eastAsia" w:ascii="仿宋_GB2312" w:hAnsi="仿宋_GB2312" w:eastAsia="仿宋_GB2312" w:cs="仿宋_GB2312"/>
          <w:color w:val="000000"/>
          <w:kern w:val="0"/>
          <w:sz w:val="31"/>
          <w:szCs w:val="31"/>
          <w:lang w:val="en-US" w:eastAsia="zh-CN" w:bidi="ar"/>
        </w:rPr>
        <w:t xml:space="preserve">  </w:t>
      </w:r>
    </w:p>
    <w:p>
      <w:pPr>
        <w:keepNext w:val="0"/>
        <w:keepLines w:val="0"/>
        <w:pageBreakBefore w:val="0"/>
        <w:widowControl/>
        <w:suppressLineNumbers w:val="0"/>
        <w:kinsoku/>
        <w:wordWrap w:val="0"/>
        <w:topLinePunct w:val="0"/>
        <w:autoSpaceDE/>
        <w:autoSpaceDN/>
        <w:bidi w:val="0"/>
        <w:snapToGrid/>
        <w:spacing w:line="600" w:lineRule="exact"/>
        <w:jc w:val="right"/>
        <w:textAlignment w:val="auto"/>
        <w:rPr>
          <w:rFonts w:ascii="方正小标宋简体" w:hAnsi="方正小标宋简体" w:eastAsia="方正小标宋简体" w:cs="方正小标宋简体"/>
          <w:color w:val="000000"/>
          <w:kern w:val="0"/>
          <w:sz w:val="43"/>
          <w:szCs w:val="43"/>
          <w:lang w:val="en-US" w:eastAsia="zh-CN" w:bidi="ar"/>
        </w:rPr>
      </w:pPr>
      <w:r>
        <w:rPr>
          <w:rFonts w:ascii="仿宋_GB2312" w:hAnsi="仿宋_GB2312" w:eastAsia="仿宋_GB2312" w:cs="仿宋_GB2312"/>
          <w:color w:val="000000"/>
          <w:kern w:val="2"/>
          <w:sz w:val="31"/>
          <w:szCs w:val="31"/>
          <w:lang w:val="en-US" w:eastAsia="zh-CN" w:bidi="ar"/>
        </w:rPr>
        <w:t>202</w:t>
      </w:r>
      <w:r>
        <w:rPr>
          <w:rFonts w:hint="eastAsia" w:ascii="仿宋_GB2312" w:hAnsi="仿宋_GB2312" w:eastAsia="仿宋_GB2312" w:cs="仿宋_GB2312"/>
          <w:color w:val="000000"/>
          <w:kern w:val="2"/>
          <w:sz w:val="31"/>
          <w:szCs w:val="31"/>
          <w:lang w:val="en-US" w:eastAsia="zh-CN" w:bidi="ar"/>
        </w:rPr>
        <w:t>6</w:t>
      </w:r>
      <w:r>
        <w:rPr>
          <w:rFonts w:ascii="仿宋_GB2312" w:hAnsi="仿宋_GB2312" w:eastAsia="仿宋_GB2312" w:cs="仿宋_GB2312"/>
          <w:color w:val="000000"/>
          <w:kern w:val="2"/>
          <w:sz w:val="31"/>
          <w:szCs w:val="31"/>
          <w:lang w:val="en-US" w:eastAsia="zh-CN" w:bidi="ar"/>
        </w:rPr>
        <w:t>年</w:t>
      </w:r>
      <w:r>
        <w:rPr>
          <w:rFonts w:hint="eastAsia" w:ascii="仿宋_GB2312" w:hAnsi="仿宋_GB2312" w:eastAsia="仿宋_GB2312" w:cs="仿宋_GB2312"/>
          <w:color w:val="000000"/>
          <w:kern w:val="2"/>
          <w:sz w:val="31"/>
          <w:szCs w:val="31"/>
          <w:lang w:val="en-US" w:eastAsia="zh-CN" w:bidi="ar"/>
        </w:rPr>
        <w:t>5</w:t>
      </w:r>
      <w:r>
        <w:rPr>
          <w:rFonts w:ascii="仿宋_GB2312" w:hAnsi="仿宋_GB2312" w:eastAsia="仿宋_GB2312" w:cs="仿宋_GB2312"/>
          <w:color w:val="000000"/>
          <w:kern w:val="2"/>
          <w:sz w:val="31"/>
          <w:szCs w:val="31"/>
          <w:lang w:val="en-US" w:eastAsia="zh-CN" w:bidi="ar"/>
        </w:rPr>
        <w:t>月</w:t>
      </w:r>
      <w:r>
        <w:rPr>
          <w:rFonts w:hint="eastAsia" w:ascii="仿宋_GB2312" w:hAnsi="仿宋_GB2312" w:eastAsia="仿宋_GB2312" w:cs="仿宋_GB2312"/>
          <w:color w:val="000000"/>
          <w:kern w:val="2"/>
          <w:sz w:val="31"/>
          <w:szCs w:val="31"/>
          <w:lang w:val="en-US" w:eastAsia="zh-CN" w:bidi="ar"/>
        </w:rPr>
        <w:t>13</w:t>
      </w:r>
      <w:r>
        <w:rPr>
          <w:rFonts w:ascii="仿宋_GB2312" w:hAnsi="仿宋_GB2312" w:eastAsia="仿宋_GB2312" w:cs="仿宋_GB2312"/>
          <w:color w:val="000000"/>
          <w:kern w:val="2"/>
          <w:sz w:val="31"/>
          <w:szCs w:val="31"/>
          <w:lang w:val="en-US" w:eastAsia="zh-CN" w:bidi="ar"/>
        </w:rPr>
        <w:t>日</w:t>
      </w:r>
      <w:r>
        <w:rPr>
          <w:rFonts w:hint="eastAsia" w:ascii="仿宋_GB2312" w:hAnsi="仿宋_GB2312" w:eastAsia="仿宋_GB2312" w:cs="仿宋_GB2312"/>
          <w:color w:val="000000"/>
          <w:kern w:val="2"/>
          <w:sz w:val="31"/>
          <w:szCs w:val="31"/>
          <w:lang w:val="en-US" w:eastAsia="zh-CN" w:bidi="ar"/>
        </w:rPr>
        <w:t xml:space="preserve">    </w:t>
      </w:r>
    </w:p>
    <w:p>
      <w:pPr>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br w:type="page"/>
      </w:r>
    </w:p>
    <w:p>
      <w:pPr>
        <w:keepNext w:val="0"/>
        <w:keepLines w:val="0"/>
        <w:pageBreakBefore w:val="0"/>
        <w:widowControl w:val="0"/>
        <w:suppressLineNumbers w:val="0"/>
        <w:kinsoku/>
        <w:wordWrap/>
        <w:overflowPunct w:val="0"/>
        <w:topLinePunct w:val="0"/>
        <w:autoSpaceDE/>
        <w:autoSpaceDN/>
        <w:bidi w:val="0"/>
        <w:adjustRightInd w:val="0"/>
        <w:snapToGrid w:val="0"/>
        <w:spacing w:line="600" w:lineRule="exact"/>
        <w:ind w:left="0" w:leftChars="0"/>
        <w:jc w:val="center"/>
        <w:textAlignment w:val="auto"/>
        <w:rPr>
          <w:rFonts w:hint="default" w:ascii="Times New Roman" w:hAnsi="Times New Roman" w:eastAsia="楷体_GB2312" w:cs="Times New Roman"/>
          <w:snapToGrid w:val="0"/>
          <w:color w:val="000000"/>
          <w:spacing w:val="0"/>
          <w:w w:val="100"/>
          <w:kern w:val="0"/>
          <w:sz w:val="32"/>
          <w:szCs w:val="32"/>
          <w:highlight w:val="none"/>
          <w:lang w:val="en-US" w:eastAsia="zh-CN" w:bidi="ar-SA"/>
        </w:rPr>
      </w:pPr>
      <w:r>
        <w:rPr>
          <w:rFonts w:hint="eastAsia" w:ascii="方正小标宋简体" w:hAnsi="方正小标宋简体" w:eastAsia="方正小标宋简体" w:cs="方正小标宋简体"/>
          <w:snapToGrid w:val="0"/>
          <w:color w:val="000000"/>
          <w:spacing w:val="0"/>
          <w:w w:val="100"/>
          <w:kern w:val="0"/>
          <w:sz w:val="44"/>
          <w:szCs w:val="44"/>
          <w:highlight w:val="none"/>
          <w:lang w:val="en-US" w:eastAsia="zh-CN"/>
        </w:rPr>
        <w:t>关于支持打造OPC超级个体社区的若干措施</w:t>
      </w:r>
    </w:p>
    <w:p>
      <w:pPr>
        <w:pStyle w:val="5"/>
        <w:keepNext w:val="0"/>
        <w:keepLines w:val="0"/>
        <w:pageBreakBefore w:val="0"/>
        <w:widowControl w:val="0"/>
        <w:kinsoku/>
        <w:wordWrap/>
        <w:overflowPunct w:val="0"/>
        <w:topLinePunct w:val="0"/>
        <w:autoSpaceDE/>
        <w:autoSpaceDN/>
        <w:bidi w:val="0"/>
        <w:adjustRightInd w:val="0"/>
        <w:snapToGrid w:val="0"/>
        <w:spacing w:line="600" w:lineRule="exact"/>
        <w:ind w:left="0" w:leftChars="0"/>
        <w:jc w:val="both"/>
        <w:textAlignment w:val="auto"/>
        <w:rPr>
          <w:rFonts w:hint="default" w:ascii="Times New Roman" w:hAnsi="Times New Roman" w:cs="Times New Roman"/>
          <w:w w:val="100"/>
          <w:kern w:val="0"/>
          <w:highlight w:val="none"/>
          <w:lang w:val="en-US" w:eastAsia="zh-CN"/>
        </w:rPr>
      </w:pPr>
    </w:p>
    <w:p>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both"/>
        <w:textAlignment w:val="auto"/>
        <w:rPr>
          <w:rFonts w:hint="default" w:ascii="Times New Roman" w:hAnsi="Times New Roman" w:eastAsia="仿宋_GB2312" w:cs="Times New Roman"/>
          <w:snapToGrid w:val="0"/>
          <w:color w:val="000000"/>
          <w:spacing w:val="0"/>
          <w:w w:val="100"/>
          <w:kern w:val="0"/>
          <w:sz w:val="32"/>
          <w:szCs w:val="32"/>
          <w:highlight w:val="none"/>
          <w:lang w:val="en-US" w:eastAsia="zh-CN"/>
        </w:rPr>
      </w:pPr>
      <w:r>
        <w:rPr>
          <w:rFonts w:hint="eastAsia" w:ascii="仿宋_GB2312" w:hAnsi="仿宋_GB2312" w:eastAsia="仿宋_GB2312" w:cs="仿宋_GB2312"/>
          <w:snapToGrid w:val="0"/>
          <w:color w:val="000000"/>
          <w:spacing w:val="0"/>
          <w:w w:val="100"/>
          <w:kern w:val="0"/>
          <w:sz w:val="32"/>
          <w:szCs w:val="32"/>
          <w:highlight w:val="none"/>
          <w:lang w:val="en-US" w:eastAsia="zh-CN"/>
        </w:rPr>
        <w:t>为深入贯彻落实国家及上海市关于“人工智能+”行动战略部署，助力杨浦数智经济发展，抢抓大厂大学大模型技术赋能下“一人公司”（OPC）快速崛起新机遇，充分发挥建设复兴岛全球创客岛的战略叠加优势，聚焦未来产业、前沿赛道，全力打造OPC超级个体社区，特制定本措施。</w:t>
      </w:r>
    </w:p>
    <w:p>
      <w:pPr>
        <w:keepNext w:val="0"/>
        <w:keepLines w:val="0"/>
        <w:pageBreakBefore w:val="0"/>
        <w:widowControl w:val="0"/>
        <w:kinsoku/>
        <w:wordWrap/>
        <w:overflowPunct w:val="0"/>
        <w:topLinePunct w:val="0"/>
        <w:autoSpaceDE/>
        <w:autoSpaceDN/>
        <w:bidi w:val="0"/>
        <w:adjustRightInd w:val="0"/>
        <w:snapToGrid w:val="0"/>
        <w:spacing w:afterAutospacing="0" w:line="600" w:lineRule="exact"/>
        <w:ind w:left="0" w:leftChars="0" w:firstLine="640" w:firstLineChars="200"/>
        <w:jc w:val="both"/>
        <w:textAlignment w:val="auto"/>
        <w:rPr>
          <w:rFonts w:hint="default" w:ascii="Times New Roman" w:hAnsi="Times New Roman" w:eastAsia="黑体" w:cs="Times New Roman"/>
          <w:b w:val="0"/>
          <w:bCs w:val="0"/>
          <w:snapToGrid w:val="0"/>
          <w:color w:val="000000"/>
          <w:spacing w:val="0"/>
          <w:w w:val="100"/>
          <w:kern w:val="0"/>
          <w:sz w:val="32"/>
          <w:szCs w:val="32"/>
          <w:highlight w:val="none"/>
        </w:rPr>
      </w:pPr>
      <w:r>
        <w:rPr>
          <w:rFonts w:hint="default" w:ascii="Times New Roman" w:hAnsi="Times New Roman" w:eastAsia="黑体" w:cs="Times New Roman"/>
          <w:b w:val="0"/>
          <w:bCs w:val="0"/>
          <w:snapToGrid w:val="0"/>
          <w:color w:val="000000"/>
          <w:spacing w:val="0"/>
          <w:w w:val="100"/>
          <w:kern w:val="0"/>
          <w:sz w:val="32"/>
          <w:szCs w:val="32"/>
          <w:highlight w:val="none"/>
          <w:lang w:eastAsia="zh-CN"/>
        </w:rPr>
        <w:t>一</w:t>
      </w:r>
      <w:r>
        <w:rPr>
          <w:rFonts w:hint="default" w:ascii="Times New Roman" w:hAnsi="Times New Roman" w:eastAsia="黑体" w:cs="Times New Roman"/>
          <w:b w:val="0"/>
          <w:bCs w:val="0"/>
          <w:snapToGrid w:val="0"/>
          <w:color w:val="000000"/>
          <w:spacing w:val="0"/>
          <w:w w:val="100"/>
          <w:kern w:val="0"/>
          <w:sz w:val="32"/>
          <w:szCs w:val="32"/>
          <w:highlight w:val="none"/>
        </w:rPr>
        <w:t>、支持对象</w:t>
      </w:r>
    </w:p>
    <w:p>
      <w:pPr>
        <w:pStyle w:val="10"/>
        <w:keepNext w:val="0"/>
        <w:keepLines w:val="0"/>
        <w:pageBreakBefore w:val="0"/>
        <w:widowControl w:val="0"/>
        <w:kinsoku/>
        <w:wordWrap/>
        <w:overflowPunct w:val="0"/>
        <w:topLinePunct w:val="0"/>
        <w:autoSpaceDE/>
        <w:autoSpaceDN/>
        <w:bidi w:val="0"/>
        <w:adjustRightInd w:val="0"/>
        <w:snapToGrid w:val="0"/>
        <w:spacing w:before="0" w:beforeAutospacing="0" w:after="0" w:afterAutospacing="0" w:line="600" w:lineRule="exact"/>
        <w:ind w:left="0" w:leftChars="0" w:firstLine="640" w:firstLineChars="200"/>
        <w:jc w:val="both"/>
        <w:textAlignment w:val="auto"/>
        <w:rPr>
          <w:rFonts w:hint="default" w:ascii="Times New Roman" w:hAnsi="Times New Roman" w:eastAsia="仿宋_GB2312" w:cs="Times New Roman"/>
          <w:snapToGrid w:val="0"/>
          <w:color w:val="000000"/>
          <w:spacing w:val="0"/>
          <w:w w:val="100"/>
          <w:kern w:val="0"/>
          <w:sz w:val="32"/>
          <w:szCs w:val="32"/>
          <w:highlight w:val="none"/>
          <w:lang w:val="en-US" w:eastAsia="zh-CN" w:bidi="ar-SA"/>
        </w:rPr>
      </w:pPr>
      <w:r>
        <w:rPr>
          <w:rFonts w:hint="eastAsia" w:ascii="仿宋_GB2312" w:hAnsi="仿宋_GB2312" w:eastAsia="仿宋_GB2312" w:cs="仿宋_GB2312"/>
          <w:snapToGrid w:val="0"/>
          <w:color w:val="000000"/>
          <w:spacing w:val="0"/>
          <w:w w:val="100"/>
          <w:kern w:val="0"/>
          <w:sz w:val="32"/>
          <w:szCs w:val="32"/>
          <w:highlight w:val="none"/>
          <w:lang w:val="en-US" w:eastAsia="zh-CN" w:bidi="ar-SA"/>
        </w:rPr>
        <w:t>本措施适用于杨浦区域内具备条件的OPC超级个体社区，依法设立、诚信经营、入驻社区的OPC企业（即AI驱动的超级个体公司，由</w:t>
      </w:r>
      <w:r>
        <w:rPr>
          <w:rFonts w:hint="eastAsia" w:ascii="仿宋_GB2312" w:hAnsi="仿宋_GB2312" w:eastAsia="仿宋_GB2312" w:cs="仿宋_GB2312"/>
          <w:snapToGrid w:val="0"/>
          <w:spacing w:val="0"/>
          <w:w w:val="100"/>
          <w:kern w:val="0"/>
          <w:sz w:val="32"/>
          <w:szCs w:val="32"/>
          <w:highlight w:val="none"/>
        </w:rPr>
        <w:t>核心创始人深度利用人工智能作为核心生产力和“虚拟团队”，独立完成从创意、研发、运营到商业闭环全流程的新型创业组织形态</w:t>
      </w:r>
      <w:r>
        <w:rPr>
          <w:rFonts w:hint="eastAsia" w:ascii="仿宋_GB2312" w:hAnsi="仿宋_GB2312" w:eastAsia="仿宋_GB2312" w:cs="仿宋_GB2312"/>
          <w:snapToGrid w:val="0"/>
          <w:color w:val="000000"/>
          <w:spacing w:val="0"/>
          <w:w w:val="100"/>
          <w:kern w:val="0"/>
          <w:sz w:val="32"/>
          <w:szCs w:val="32"/>
          <w:highlight w:val="none"/>
          <w:lang w:val="en-US" w:eastAsia="zh-CN" w:bidi="ar-SA"/>
        </w:rPr>
        <w:t>）及社区生态服务提供者等。</w:t>
      </w:r>
    </w:p>
    <w:p>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both"/>
        <w:textAlignment w:val="auto"/>
        <w:outlineLvl w:val="0"/>
        <w:rPr>
          <w:rFonts w:hint="default" w:ascii="Times New Roman" w:hAnsi="Times New Roman" w:eastAsia="黑体" w:cs="Times New Roman"/>
          <w:snapToGrid w:val="0"/>
          <w:color w:val="000000"/>
          <w:spacing w:val="0"/>
          <w:w w:val="100"/>
          <w:kern w:val="0"/>
          <w:sz w:val="32"/>
          <w:szCs w:val="32"/>
          <w:highlight w:val="none"/>
          <w:lang w:val="en-US" w:eastAsia="zh-CN"/>
        </w:rPr>
      </w:pPr>
      <w:r>
        <w:rPr>
          <w:rFonts w:hint="default" w:ascii="Times New Roman" w:hAnsi="Times New Roman" w:eastAsia="黑体" w:cs="Times New Roman"/>
          <w:snapToGrid w:val="0"/>
          <w:color w:val="000000"/>
          <w:spacing w:val="0"/>
          <w:w w:val="100"/>
          <w:kern w:val="0"/>
          <w:sz w:val="32"/>
          <w:szCs w:val="32"/>
          <w:highlight w:val="none"/>
          <w:lang w:val="en-US" w:eastAsia="zh-CN"/>
        </w:rPr>
        <w:t>二、支持内容</w:t>
      </w:r>
    </w:p>
    <w:p>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both"/>
        <w:textAlignment w:val="auto"/>
        <w:outlineLvl w:val="0"/>
        <w:rPr>
          <w:rFonts w:hint="eastAsia" w:ascii="楷体_GB2312" w:hAnsi="楷体_GB2312" w:eastAsia="楷体_GB2312" w:cs="楷体_GB2312"/>
          <w:b w:val="0"/>
          <w:bCs w:val="0"/>
          <w:snapToGrid w:val="0"/>
          <w:color w:val="000000"/>
          <w:spacing w:val="0"/>
          <w:w w:val="100"/>
          <w:kern w:val="0"/>
          <w:sz w:val="32"/>
          <w:szCs w:val="32"/>
          <w:highlight w:val="none"/>
          <w:lang w:val="en-US" w:eastAsia="zh-CN"/>
        </w:rPr>
      </w:pPr>
      <w:r>
        <w:rPr>
          <w:rFonts w:hint="eastAsia" w:ascii="楷体_GB2312" w:hAnsi="楷体_GB2312" w:eastAsia="楷体_GB2312" w:cs="楷体_GB2312"/>
          <w:b w:val="0"/>
          <w:bCs w:val="0"/>
          <w:snapToGrid w:val="0"/>
          <w:color w:val="000000"/>
          <w:spacing w:val="0"/>
          <w:w w:val="100"/>
          <w:kern w:val="0"/>
          <w:sz w:val="32"/>
          <w:szCs w:val="32"/>
          <w:highlight w:val="none"/>
          <w:lang w:val="en-US" w:eastAsia="zh-CN"/>
        </w:rPr>
        <w:t>（一）投资于</w:t>
      </w:r>
      <w:r>
        <w:rPr>
          <w:rFonts w:hint="eastAsia" w:ascii="楷体_GB2312" w:hAnsi="楷体_GB2312" w:eastAsia="楷体_GB2312" w:cs="楷体_GB2312"/>
          <w:b w:val="0"/>
          <w:bCs w:val="0"/>
          <w:snapToGrid w:val="0"/>
          <w:color w:val="000000"/>
          <w:spacing w:val="0"/>
          <w:w w:val="100"/>
          <w:kern w:val="0"/>
          <w:sz w:val="32"/>
          <w:szCs w:val="32"/>
          <w:highlight w:val="none"/>
          <w:lang w:val="en-US" w:eastAsia="zh-CN" w:bidi="ar-SA"/>
        </w:rPr>
        <w:t>“人”：</w:t>
      </w:r>
      <w:r>
        <w:rPr>
          <w:rFonts w:hint="eastAsia" w:ascii="楷体_GB2312" w:hAnsi="楷体_GB2312" w:eastAsia="楷体_GB2312" w:cs="楷体_GB2312"/>
          <w:b w:val="0"/>
          <w:bCs w:val="0"/>
          <w:snapToGrid w:val="0"/>
          <w:color w:val="000000"/>
          <w:spacing w:val="0"/>
          <w:w w:val="100"/>
          <w:kern w:val="0"/>
          <w:sz w:val="32"/>
          <w:szCs w:val="32"/>
          <w:highlight w:val="none"/>
          <w:lang w:val="en-US" w:eastAsia="zh-CN"/>
        </w:rPr>
        <w:t>营造人才引育低成本生活配套环境</w:t>
      </w:r>
    </w:p>
    <w:p>
      <w:pPr>
        <w:pStyle w:val="10"/>
        <w:keepNext w:val="0"/>
        <w:keepLines w:val="0"/>
        <w:pageBreakBefore w:val="0"/>
        <w:widowControl w:val="0"/>
        <w:kinsoku/>
        <w:wordWrap/>
        <w:overflowPunct w:val="0"/>
        <w:topLinePunct w:val="0"/>
        <w:autoSpaceDE/>
        <w:autoSpaceDN/>
        <w:bidi w:val="0"/>
        <w:adjustRightInd w:val="0"/>
        <w:snapToGrid w:val="0"/>
        <w:spacing w:before="0" w:beforeAutospacing="0" w:after="0" w:afterAutospacing="0" w:line="600" w:lineRule="exact"/>
        <w:ind w:left="0" w:leftChars="0" w:firstLine="640" w:firstLineChars="200"/>
        <w:jc w:val="both"/>
        <w:textAlignment w:val="auto"/>
        <w:rPr>
          <w:rFonts w:hint="default" w:ascii="Times New Roman" w:hAnsi="Times New Roman" w:eastAsia="仿宋_GB2312" w:cs="Times New Roman"/>
          <w:snapToGrid w:val="0"/>
          <w:spacing w:val="0"/>
          <w:w w:val="100"/>
          <w:kern w:val="0"/>
          <w:sz w:val="32"/>
          <w:szCs w:val="32"/>
          <w:highlight w:val="none"/>
          <w:lang w:val="en-US" w:eastAsia="zh-CN"/>
        </w:rPr>
      </w:pPr>
      <w:r>
        <w:rPr>
          <w:rFonts w:hint="eastAsia" w:ascii="仿宋_GB2312" w:hAnsi="仿宋_GB2312" w:eastAsia="仿宋_GB2312" w:cs="仿宋_GB2312"/>
          <w:snapToGrid w:val="0"/>
          <w:spacing w:val="0"/>
          <w:w w:val="100"/>
          <w:kern w:val="0"/>
          <w:sz w:val="32"/>
          <w:szCs w:val="32"/>
          <w:highlight w:val="none"/>
          <w:lang w:val="en-US" w:eastAsia="zh-CN"/>
        </w:rPr>
        <w:t>发挥区域内大厂大学集聚核心优势，快速集聚和培育OPC创业人才，加强创业人才落户安居保障，推出创业人才专属服务，营造高浓度创业氛围，全面提升创业人才归属感，让创业人才“引得进、住得下、过得好”。</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snapToGrid w:val="0"/>
          <w:color w:val="000000"/>
          <w:spacing w:val="0"/>
          <w:w w:val="100"/>
          <w:kern w:val="0"/>
          <w:sz w:val="32"/>
          <w:szCs w:val="32"/>
          <w:highlight w:val="none"/>
          <w:lang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1.贯通OPC人才引育。</w:t>
      </w:r>
      <w:r>
        <w:rPr>
          <w:rFonts w:hint="eastAsia" w:ascii="仿宋_GB2312" w:hAnsi="仿宋_GB2312" w:eastAsia="仿宋_GB2312" w:cs="仿宋_GB2312"/>
          <w:b w:val="0"/>
          <w:bCs w:val="0"/>
          <w:snapToGrid w:val="0"/>
          <w:color w:val="000000"/>
          <w:spacing w:val="0"/>
          <w:w w:val="100"/>
          <w:kern w:val="0"/>
          <w:sz w:val="32"/>
          <w:szCs w:val="32"/>
          <w:highlight w:val="none"/>
        </w:rPr>
        <w:t>依托“3310”</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海外</w:t>
      </w:r>
      <w:r>
        <w:rPr>
          <w:rFonts w:hint="eastAsia" w:ascii="仿宋_GB2312" w:hAnsi="仿宋_GB2312" w:eastAsia="仿宋_GB2312" w:cs="仿宋_GB2312"/>
          <w:b w:val="0"/>
          <w:bCs w:val="0"/>
          <w:snapToGrid w:val="0"/>
          <w:color w:val="000000"/>
          <w:spacing w:val="0"/>
          <w:w w:val="100"/>
          <w:kern w:val="0"/>
          <w:sz w:val="32"/>
          <w:szCs w:val="32"/>
          <w:highlight w:val="none"/>
        </w:rPr>
        <w:t>引才计划、杨浦全球创新创业大赛</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等</w:t>
      </w:r>
      <w:r>
        <w:rPr>
          <w:rFonts w:hint="eastAsia" w:ascii="仿宋_GB2312" w:hAnsi="仿宋_GB2312" w:eastAsia="仿宋_GB2312" w:cs="仿宋_GB2312"/>
          <w:b w:val="0"/>
          <w:bCs w:val="0"/>
          <w:snapToGrid w:val="0"/>
          <w:color w:val="000000"/>
          <w:spacing w:val="0"/>
          <w:w w:val="100"/>
          <w:kern w:val="0"/>
          <w:sz w:val="32"/>
          <w:szCs w:val="32"/>
          <w:highlight w:val="none"/>
        </w:rPr>
        <w:t>，汇聚全球OPC人才。</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深化“能力实训-实验试制-孵化落地”创业服务链条，强化OPC社区与高校的互动对接，为高校学生提供从0到1的创新创业实践场景以及实现“从想法到落地”的真实试练环境。依托大厂社区、生态资源，</w:t>
      </w:r>
      <w:r>
        <w:rPr>
          <w:rFonts w:hint="eastAsia" w:ascii="仿宋_GB2312" w:hAnsi="仿宋_GB2312" w:eastAsia="仿宋_GB2312" w:cs="仿宋_GB2312"/>
          <w:b w:val="0"/>
          <w:bCs w:val="0"/>
          <w:snapToGrid w:val="0"/>
          <w:color w:val="000000"/>
          <w:w w:val="100"/>
          <w:kern w:val="0"/>
          <w:sz w:val="32"/>
          <w:szCs w:val="32"/>
          <w:highlight w:val="none"/>
          <w:lang w:eastAsia="zh-CN"/>
        </w:rPr>
        <w:t>快速</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集聚和培育一批OPC企业。</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（责任部门：区人才局、区人力资源社会保障局、</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区投资促进办</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snapToGrid w:val="0"/>
          <w:color w:val="000000"/>
          <w:spacing w:val="0"/>
          <w:w w:val="100"/>
          <w:kern w:val="0"/>
          <w:sz w:val="32"/>
          <w:szCs w:val="32"/>
          <w:highlight w:val="none"/>
          <w:lang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2.加强OPC人才安居保障。实施OPC人才精准安居补贴。短期住宿方面，为参加创新创业大赛等重要赛事活动的OPC人才提供每年2次、每次最长5天的免费住宿。长期安居方面，为经认定的OPC人才在复兴岛提供月租金不高于1000元/间的人才公寓。为1年以内新引进全日制博士OPC人才提供2年免费人才公寓。其他OPC人才按照《杨浦区人才安居实施办法》相关条件标准，享受人才公寓优惠政策。</w:t>
      </w:r>
      <w:r>
        <w:rPr>
          <w:rFonts w:hint="eastAsia" w:ascii="仿宋_GB2312" w:hAnsi="仿宋_GB2312" w:eastAsia="仿宋_GB2312" w:cs="仿宋_GB2312"/>
          <w:b w:val="0"/>
          <w:bCs w:val="0"/>
          <w:snapToGrid w:val="0"/>
          <w:color w:val="000000"/>
          <w:w w:val="100"/>
          <w:kern w:val="0"/>
          <w:sz w:val="32"/>
          <w:szCs w:val="32"/>
          <w:highlight w:val="none"/>
        </w:rPr>
        <w:t>符合条件的</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OPC</w:t>
      </w:r>
      <w:r>
        <w:rPr>
          <w:rFonts w:hint="eastAsia" w:ascii="仿宋_GB2312" w:hAnsi="仿宋_GB2312" w:eastAsia="仿宋_GB2312" w:cs="仿宋_GB2312"/>
          <w:b w:val="0"/>
          <w:bCs w:val="0"/>
          <w:snapToGrid w:val="0"/>
          <w:color w:val="000000"/>
          <w:w w:val="100"/>
          <w:kern w:val="0"/>
          <w:sz w:val="32"/>
          <w:szCs w:val="32"/>
          <w:highlight w:val="none"/>
        </w:rPr>
        <w:t>人才可直接申办落户</w:t>
      </w:r>
      <w:r>
        <w:rPr>
          <w:rFonts w:hint="eastAsia" w:ascii="仿宋_GB2312" w:hAnsi="仿宋_GB2312" w:eastAsia="仿宋_GB2312" w:cs="仿宋_GB2312"/>
          <w:b w:val="0"/>
          <w:bCs w:val="0"/>
          <w:snapToGrid w:val="0"/>
          <w:color w:val="000000"/>
          <w:w w:val="100"/>
          <w:kern w:val="0"/>
          <w:sz w:val="32"/>
          <w:szCs w:val="32"/>
          <w:highlight w:val="none"/>
          <w:lang w:eastAsia="zh-CN"/>
        </w:rPr>
        <w:t>，</w:t>
      </w:r>
      <w:r>
        <w:rPr>
          <w:rFonts w:hint="eastAsia" w:ascii="仿宋_GB2312" w:hAnsi="仿宋_GB2312" w:eastAsia="仿宋_GB2312" w:cs="仿宋_GB2312"/>
          <w:b w:val="0"/>
          <w:bCs w:val="0"/>
          <w:snapToGrid w:val="0"/>
          <w:color w:val="000000"/>
          <w:w w:val="100"/>
          <w:kern w:val="0"/>
          <w:sz w:val="32"/>
          <w:szCs w:val="32"/>
          <w:highlight w:val="none"/>
        </w:rPr>
        <w:t>30周岁及以下符合留学回国落户条件的</w:t>
      </w:r>
      <w:r>
        <w:rPr>
          <w:rFonts w:hint="eastAsia" w:ascii="仿宋_GB2312" w:hAnsi="仿宋_GB2312" w:eastAsia="仿宋_GB2312" w:cs="仿宋_GB2312"/>
          <w:b w:val="0"/>
          <w:bCs w:val="0"/>
          <w:snapToGrid w:val="0"/>
          <w:color w:val="000000"/>
          <w:w w:val="100"/>
          <w:kern w:val="0"/>
          <w:sz w:val="32"/>
          <w:szCs w:val="32"/>
          <w:highlight w:val="none"/>
          <w:lang w:eastAsia="zh-CN"/>
        </w:rPr>
        <w:t>O</w:t>
      </w:r>
      <w:r>
        <w:rPr>
          <w:rFonts w:hint="eastAsia" w:ascii="仿宋_GB2312" w:hAnsi="仿宋_GB2312" w:eastAsia="仿宋_GB2312" w:cs="仿宋_GB2312"/>
          <w:b w:val="0"/>
          <w:bCs w:val="0"/>
          <w:snapToGrid w:val="0"/>
          <w:color w:val="000000"/>
          <w:w w:val="100"/>
          <w:kern w:val="0"/>
          <w:sz w:val="32"/>
          <w:szCs w:val="32"/>
          <w:highlight w:val="none"/>
          <w:lang w:val="en-US" w:eastAsia="zh-CN"/>
        </w:rPr>
        <w:t>PC</w:t>
      </w:r>
      <w:r>
        <w:rPr>
          <w:rFonts w:hint="eastAsia" w:ascii="仿宋_GB2312" w:hAnsi="仿宋_GB2312" w:eastAsia="仿宋_GB2312" w:cs="仿宋_GB2312"/>
          <w:b w:val="0"/>
          <w:bCs w:val="0"/>
          <w:snapToGrid w:val="0"/>
          <w:color w:val="000000"/>
          <w:w w:val="100"/>
          <w:kern w:val="0"/>
          <w:sz w:val="32"/>
          <w:szCs w:val="32"/>
          <w:highlight w:val="none"/>
        </w:rPr>
        <w:t>人才，申请落户时不受回国年限限制</w:t>
      </w:r>
      <w:r>
        <w:rPr>
          <w:rFonts w:hint="eastAsia" w:ascii="仿宋_GB2312" w:hAnsi="仿宋_GB2312" w:eastAsia="仿宋_GB2312" w:cs="仿宋_GB2312"/>
          <w:b w:val="0"/>
          <w:bCs w:val="0"/>
          <w:snapToGrid w:val="0"/>
          <w:color w:val="000000"/>
          <w:w w:val="100"/>
          <w:kern w:val="0"/>
          <w:sz w:val="32"/>
          <w:szCs w:val="32"/>
          <w:highlight w:val="none"/>
          <w:lang w:eastAsia="zh-CN"/>
        </w:rPr>
        <w:t>。</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（责任部门：区人才局、</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区投资促进办、滨江集团</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default" w:ascii="Times New Roman" w:hAnsi="Times New Roman" w:cs="Times New Roman"/>
          <w:snapToGrid w:val="0"/>
          <w:color w:val="000000"/>
          <w:spacing w:val="0"/>
          <w:w w:val="100"/>
          <w:kern w:val="0"/>
          <w:sz w:val="32"/>
          <w:szCs w:val="32"/>
          <w:highlight w:val="none"/>
          <w:lang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3.构建OPC人才乐活生态。</w:t>
      </w:r>
      <w:r>
        <w:rPr>
          <w:rFonts w:hint="eastAsia" w:ascii="仿宋_GB2312" w:hAnsi="仿宋_GB2312" w:eastAsia="仿宋_GB2312" w:cs="仿宋_GB2312"/>
          <w:b w:val="0"/>
          <w:bCs w:val="0"/>
          <w:snapToGrid w:val="0"/>
          <w:w w:val="100"/>
          <w:kern w:val="0"/>
          <w:sz w:val="32"/>
          <w:szCs w:val="32"/>
          <w:highlight w:val="none"/>
        </w:rPr>
        <w:t>打造OPC</w:t>
      </w:r>
      <w:r>
        <w:rPr>
          <w:rFonts w:hint="eastAsia" w:ascii="仿宋_GB2312" w:hAnsi="仿宋_GB2312" w:eastAsia="仿宋_GB2312" w:cs="仿宋_GB2312"/>
          <w:b w:val="0"/>
          <w:bCs w:val="0"/>
          <w:snapToGrid w:val="0"/>
          <w:w w:val="100"/>
          <w:kern w:val="0"/>
          <w:sz w:val="32"/>
          <w:szCs w:val="32"/>
          <w:highlight w:val="none"/>
          <w:lang w:eastAsia="zh-CN"/>
        </w:rPr>
        <w:t>创业社群，</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定期组织创业沙龙、行业论坛、项目路演、技术对接会、AI创作大赛</w:t>
      </w:r>
      <w:r>
        <w:rPr>
          <w:rFonts w:hint="eastAsia" w:ascii="仿宋_GB2312" w:hAnsi="仿宋_GB2312" w:eastAsia="仿宋_GB2312" w:cs="仿宋_GB2312"/>
          <w:b w:val="0"/>
          <w:bCs w:val="0"/>
          <w:snapToGrid w:val="0"/>
          <w:w w:val="100"/>
          <w:kern w:val="0"/>
          <w:sz w:val="32"/>
          <w:szCs w:val="32"/>
          <w:highlight w:val="none"/>
        </w:rPr>
        <w:t>和</w:t>
      </w:r>
      <w:r>
        <w:rPr>
          <w:rFonts w:hint="eastAsia" w:ascii="仿宋_GB2312" w:hAnsi="仿宋_GB2312" w:eastAsia="仿宋_GB2312" w:cs="仿宋_GB2312"/>
          <w:b w:val="0"/>
          <w:bCs w:val="0"/>
          <w:snapToGrid w:val="0"/>
          <w:w w:val="100"/>
          <w:kern w:val="0"/>
          <w:sz w:val="32"/>
          <w:szCs w:val="32"/>
          <w:highlight w:val="none"/>
          <w:lang w:val="en-US" w:eastAsia="zh-CN"/>
        </w:rPr>
        <w:t>AI开放麦</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等专业活动；举办音乐节、读书会、交友会、</w:t>
      </w:r>
      <w:r>
        <w:rPr>
          <w:rFonts w:hint="eastAsia" w:ascii="仿宋_GB2312" w:hAnsi="仿宋_GB2312" w:eastAsia="仿宋_GB2312" w:cs="仿宋_GB2312"/>
          <w:b w:val="0"/>
          <w:bCs w:val="0"/>
          <w:snapToGrid w:val="0"/>
          <w:w w:val="100"/>
          <w:kern w:val="0"/>
          <w:sz w:val="32"/>
          <w:szCs w:val="32"/>
          <w:highlight w:val="none"/>
        </w:rPr>
        <w:t>社群派对</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等文体活动；打造创业主题咖啡馆、联合办公空间等跨界高频社交节点；</w:t>
      </w:r>
      <w:r>
        <w:rPr>
          <w:rFonts w:hint="eastAsia" w:ascii="仿宋_GB2312" w:hAnsi="仿宋_GB2312" w:eastAsia="仿宋_GB2312" w:cs="仿宋_GB2312"/>
          <w:b w:val="0"/>
          <w:bCs w:val="0"/>
          <w:snapToGrid w:val="0"/>
          <w:color w:val="000000"/>
          <w:w w:val="100"/>
          <w:kern w:val="0"/>
          <w:sz w:val="32"/>
          <w:szCs w:val="32"/>
          <w:highlight w:val="none"/>
        </w:rPr>
        <w:t>建设社区健身房等</w:t>
      </w:r>
      <w:r>
        <w:rPr>
          <w:rFonts w:hint="eastAsia" w:ascii="仿宋_GB2312" w:hAnsi="仿宋_GB2312" w:eastAsia="仿宋_GB2312" w:cs="仿宋_GB2312"/>
          <w:b w:val="0"/>
          <w:bCs w:val="0"/>
          <w:snapToGrid w:val="0"/>
          <w:color w:val="000000"/>
          <w:w w:val="100"/>
          <w:kern w:val="0"/>
          <w:sz w:val="32"/>
          <w:szCs w:val="32"/>
          <w:highlight w:val="none"/>
          <w:lang w:val="en-US" w:eastAsia="zh-CN"/>
        </w:rPr>
        <w:t>配套</w:t>
      </w:r>
      <w:r>
        <w:rPr>
          <w:rFonts w:hint="eastAsia" w:ascii="仿宋_GB2312" w:hAnsi="仿宋_GB2312" w:eastAsia="仿宋_GB2312" w:cs="仿宋_GB2312"/>
          <w:b w:val="0"/>
          <w:bCs w:val="0"/>
          <w:snapToGrid w:val="0"/>
          <w:color w:val="000000"/>
          <w:w w:val="100"/>
          <w:kern w:val="0"/>
          <w:sz w:val="32"/>
          <w:szCs w:val="32"/>
          <w:highlight w:val="none"/>
        </w:rPr>
        <w:t>设施</w:t>
      </w:r>
      <w:r>
        <w:rPr>
          <w:rFonts w:hint="eastAsia" w:ascii="仿宋_GB2312" w:hAnsi="仿宋_GB2312" w:eastAsia="仿宋_GB2312" w:cs="仿宋_GB2312"/>
          <w:b w:val="0"/>
          <w:bCs w:val="0"/>
          <w:snapToGrid w:val="0"/>
          <w:color w:val="000000"/>
          <w:w w:val="100"/>
          <w:kern w:val="0"/>
          <w:sz w:val="32"/>
          <w:szCs w:val="32"/>
          <w:highlight w:val="none"/>
          <w:lang w:eastAsia="zh-CN"/>
        </w:rPr>
        <w:t>，</w:t>
      </w:r>
      <w:r>
        <w:rPr>
          <w:rFonts w:hint="eastAsia" w:ascii="仿宋_GB2312" w:hAnsi="仿宋_GB2312" w:eastAsia="仿宋_GB2312" w:cs="仿宋_GB2312"/>
          <w:b w:val="0"/>
          <w:bCs w:val="0"/>
          <w:snapToGrid w:val="0"/>
          <w:w w:val="100"/>
          <w:kern w:val="0"/>
          <w:sz w:val="32"/>
          <w:szCs w:val="32"/>
          <w:highlight w:val="none"/>
        </w:rPr>
        <w:t>为人才交流思想、碰撞火花</w:t>
      </w:r>
      <w:r>
        <w:rPr>
          <w:rFonts w:hint="eastAsia" w:ascii="仿宋_GB2312" w:hAnsi="仿宋_GB2312" w:eastAsia="仿宋_GB2312" w:cs="仿宋_GB2312"/>
          <w:b w:val="0"/>
          <w:bCs w:val="0"/>
          <w:snapToGrid w:val="0"/>
          <w:w w:val="100"/>
          <w:kern w:val="0"/>
          <w:sz w:val="32"/>
          <w:szCs w:val="32"/>
          <w:highlight w:val="none"/>
          <w:lang w:val="en-US" w:eastAsia="zh-CN"/>
        </w:rPr>
        <w:t>搭建好平台，</w:t>
      </w:r>
      <w:r>
        <w:rPr>
          <w:rFonts w:hint="eastAsia" w:ascii="仿宋_GB2312" w:hAnsi="仿宋_GB2312" w:eastAsia="仿宋_GB2312" w:cs="仿宋_GB2312"/>
          <w:b w:val="0"/>
          <w:bCs w:val="0"/>
          <w:snapToGrid w:val="0"/>
          <w:w w:val="100"/>
          <w:kern w:val="0"/>
          <w:sz w:val="32"/>
          <w:szCs w:val="32"/>
          <w:highlight w:val="none"/>
        </w:rPr>
        <w:t>培育“多元化、超活力、自生长”的创客集群生态。</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（责任部门：区投资促进办、区人才局、区科技经济委、区文化旅游局、区体育局</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、滨江集团</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w:t>
      </w:r>
    </w:p>
    <w:p>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both"/>
        <w:textAlignment w:val="auto"/>
        <w:outlineLvl w:val="0"/>
        <w:rPr>
          <w:rFonts w:hint="default" w:ascii="Times New Roman" w:hAnsi="Times New Roman" w:eastAsia="楷体_GB2312" w:cs="Times New Roman"/>
          <w:b/>
          <w:bCs/>
          <w:snapToGrid w:val="0"/>
          <w:color w:val="000000"/>
          <w:spacing w:val="0"/>
          <w:w w:val="100"/>
          <w:kern w:val="0"/>
          <w:sz w:val="32"/>
          <w:szCs w:val="32"/>
          <w:highlight w:val="none"/>
          <w:lang w:val="en-US" w:eastAsia="zh-CN"/>
        </w:rPr>
      </w:pPr>
      <w:r>
        <w:rPr>
          <w:rFonts w:hint="eastAsia" w:ascii="楷体_GB2312" w:hAnsi="楷体_GB2312" w:eastAsia="楷体_GB2312" w:cs="楷体_GB2312"/>
          <w:b w:val="0"/>
          <w:bCs w:val="0"/>
          <w:snapToGrid w:val="0"/>
          <w:color w:val="000000"/>
          <w:spacing w:val="0"/>
          <w:w w:val="100"/>
          <w:kern w:val="0"/>
          <w:sz w:val="32"/>
          <w:szCs w:val="32"/>
          <w:highlight w:val="none"/>
          <w:lang w:val="en-US" w:eastAsia="zh-CN"/>
        </w:rPr>
        <w:t>（二）支撑于“技”：构建AI赋能高效率技术服务体系</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default" w:ascii="Times New Roman" w:hAnsi="Times New Roman" w:cs="Times New Roman"/>
          <w:snapToGrid w:val="0"/>
          <w:color w:val="000000"/>
          <w:spacing w:val="0"/>
          <w:w w:val="100"/>
          <w:kern w:val="0"/>
          <w:sz w:val="32"/>
          <w:szCs w:val="32"/>
          <w:highlight w:val="none"/>
          <w:lang w:val="en-US" w:eastAsia="zh-CN"/>
        </w:rPr>
      </w:pPr>
      <w:r>
        <w:rPr>
          <w:rFonts w:hint="eastAsia" w:ascii="仿宋_GB2312" w:hAnsi="仿宋_GB2312" w:eastAsia="仿宋_GB2312" w:cs="仿宋_GB2312"/>
          <w:snapToGrid w:val="0"/>
          <w:color w:val="000000"/>
          <w:spacing w:val="0"/>
          <w:w w:val="100"/>
          <w:kern w:val="0"/>
          <w:sz w:val="32"/>
          <w:szCs w:val="32"/>
          <w:highlight w:val="none"/>
          <w:lang w:val="en-US" w:eastAsia="zh-CN"/>
        </w:rPr>
        <w:t>实施“陪伴—赋能—陪跑”全流程创业孵化计划，聚焦OPC创业“低门槛、高适配、全场景”需求，提供大厂技术赋能的全流程AI工具链，加强技术服务支撑，予以创业指导陪伴式服务，让创业者“用得起、试得出、行得通”。</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4.提供全流程AI工具链。</w:t>
      </w:r>
      <w:r>
        <w:rPr>
          <w:rFonts w:hint="eastAsia" w:ascii="仿宋_GB2312" w:hAnsi="仿宋_GB2312" w:eastAsia="仿宋_GB2312" w:cs="仿宋_GB2312"/>
          <w:b w:val="0"/>
          <w:bCs w:val="0"/>
          <w:snapToGrid w:val="0"/>
          <w:color w:val="000000"/>
          <w:w w:val="100"/>
          <w:kern w:val="0"/>
          <w:sz w:val="32"/>
          <w:szCs w:val="32"/>
          <w:highlight w:val="none"/>
        </w:rPr>
        <w:t>鼓励</w:t>
      </w:r>
      <w:bookmarkStart w:id="0" w:name="OLE_LINK1"/>
      <w:r>
        <w:rPr>
          <w:rFonts w:hint="eastAsia" w:ascii="仿宋_GB2312" w:hAnsi="仿宋_GB2312" w:eastAsia="仿宋_GB2312" w:cs="仿宋_GB2312"/>
          <w:b w:val="0"/>
          <w:bCs w:val="0"/>
          <w:snapToGrid w:val="0"/>
          <w:color w:val="000000"/>
          <w:w w:val="100"/>
          <w:kern w:val="0"/>
          <w:sz w:val="32"/>
          <w:szCs w:val="32"/>
          <w:highlight w:val="none"/>
        </w:rPr>
        <w:t>OPC社区为创业者提供</w:t>
      </w:r>
      <w:bookmarkEnd w:id="0"/>
      <w:r>
        <w:rPr>
          <w:rFonts w:hint="eastAsia" w:ascii="仿宋_GB2312" w:hAnsi="仿宋_GB2312" w:eastAsia="仿宋_GB2312" w:cs="仿宋_GB2312"/>
          <w:b w:val="0"/>
          <w:bCs w:val="0"/>
          <w:snapToGrid w:val="0"/>
          <w:color w:val="000000"/>
          <w:w w:val="100"/>
          <w:kern w:val="0"/>
          <w:sz w:val="32"/>
          <w:szCs w:val="32"/>
          <w:highlight w:val="none"/>
        </w:rPr>
        <w:t>全栈AI智能工具集，助力技术研发、产品迭代和市场分析等环节，对社区给予最高1000万元支持。鼓励OPC社区为创业者提供行业垂类智能体应用服务，助力产业发展，对社区给予最高1000万元支持。鼓励OPC社区为创业者发放</w:t>
      </w:r>
      <w:r>
        <w:rPr>
          <w:rFonts w:hint="eastAsia" w:ascii="仿宋_GB2312" w:hAnsi="仿宋_GB2312" w:eastAsia="仿宋_GB2312" w:cs="仿宋_GB2312"/>
          <w:b w:val="0"/>
          <w:bCs w:val="0"/>
          <w:snapToGrid w:val="0"/>
          <w:color w:val="000000"/>
          <w:w w:val="100"/>
          <w:kern w:val="0"/>
          <w:sz w:val="32"/>
          <w:szCs w:val="32"/>
          <w:highlight w:val="none"/>
          <w:lang w:val="en-US" w:eastAsia="zh-CN"/>
        </w:rPr>
        <w:t>Tokens券</w:t>
      </w:r>
      <w:r>
        <w:rPr>
          <w:rFonts w:hint="eastAsia" w:ascii="仿宋_GB2312" w:hAnsi="仿宋_GB2312" w:eastAsia="仿宋_GB2312" w:cs="仿宋_GB2312"/>
          <w:b w:val="0"/>
          <w:bCs w:val="0"/>
          <w:snapToGrid w:val="0"/>
          <w:color w:val="000000"/>
          <w:w w:val="100"/>
          <w:kern w:val="0"/>
          <w:sz w:val="32"/>
          <w:szCs w:val="32"/>
          <w:highlight w:val="none"/>
        </w:rPr>
        <w:t>，降低AI</w:t>
      </w:r>
      <w:r>
        <w:rPr>
          <w:rFonts w:hint="eastAsia" w:ascii="仿宋_GB2312" w:hAnsi="仿宋_GB2312" w:eastAsia="仿宋_GB2312" w:cs="仿宋_GB2312"/>
          <w:b w:val="0"/>
          <w:bCs w:val="0"/>
          <w:snapToGrid w:val="0"/>
          <w:color w:val="000000"/>
          <w:w w:val="100"/>
          <w:kern w:val="0"/>
          <w:sz w:val="32"/>
          <w:szCs w:val="32"/>
          <w:highlight w:val="none"/>
          <w:lang w:eastAsia="zh-CN"/>
        </w:rPr>
        <w:t>大模型</w:t>
      </w:r>
      <w:r>
        <w:rPr>
          <w:rFonts w:hint="eastAsia" w:ascii="仿宋_GB2312" w:hAnsi="仿宋_GB2312" w:eastAsia="仿宋_GB2312" w:cs="仿宋_GB2312"/>
          <w:b w:val="0"/>
          <w:bCs w:val="0"/>
          <w:snapToGrid w:val="0"/>
          <w:color w:val="000000"/>
          <w:w w:val="100"/>
          <w:kern w:val="0"/>
          <w:sz w:val="32"/>
          <w:szCs w:val="32"/>
          <w:highlight w:val="none"/>
        </w:rPr>
        <w:t>应用门槛，对社区给予最高2000万元支持。</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（责任部门：区投资促进办、区数据局）</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5.加强技术</w:t>
      </w:r>
      <w:r>
        <w:rPr>
          <w:rFonts w:hint="eastAsia" w:ascii="仿宋_GB2312" w:hAnsi="仿宋_GB2312" w:eastAsia="仿宋_GB2312" w:cs="仿宋_GB2312"/>
          <w:b w:val="0"/>
          <w:bCs w:val="0"/>
          <w:snapToGrid w:val="0"/>
          <w:color w:val="000000"/>
          <w:spacing w:val="0"/>
          <w:w w:val="100"/>
          <w:kern w:val="0"/>
          <w:sz w:val="32"/>
          <w:szCs w:val="32"/>
          <w:highlight w:val="none"/>
        </w:rPr>
        <w:t>服务</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支撑</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。支持区内技术交易机构、各类概念验证中心、公共技术服务平台为OPC企业提供技术交易、概念验证、数据处理共性技术等服务。</w:t>
      </w:r>
      <w:r>
        <w:rPr>
          <w:rFonts w:hint="eastAsia" w:ascii="仿宋_GB2312" w:hAnsi="仿宋_GB2312" w:eastAsia="仿宋_GB2312" w:cs="仿宋_GB2312"/>
          <w:b w:val="0"/>
          <w:bCs w:val="0"/>
          <w:snapToGrid w:val="0"/>
          <w:color w:val="000000"/>
          <w:spacing w:val="0"/>
          <w:w w:val="100"/>
          <w:kern w:val="0"/>
          <w:sz w:val="32"/>
          <w:szCs w:val="32"/>
          <w:highlight w:val="none"/>
        </w:rPr>
        <w:t>发放新质秀带创新券，鼓励OPC企业聘请专业服务机构或专家团队担任创新顾问，购买目录内服务事项，经认定，给予核定合同额最高50%、每年最高20万元的补贴。</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（责任部门：区科技经济委）</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default" w:ascii="Times New Roman" w:hAnsi="Times New Roman" w:cs="Times New Roman"/>
          <w:i w:val="0"/>
          <w:iCs w:val="0"/>
          <w:caps w:val="0"/>
          <w:snapToGrid w:val="0"/>
          <w:color w:val="000000"/>
          <w:spacing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6.推出创业指导服务。</w:t>
      </w:r>
      <w:r>
        <w:rPr>
          <w:rFonts w:hint="eastAsia" w:ascii="仿宋_GB2312" w:hAnsi="仿宋_GB2312" w:eastAsia="仿宋_GB2312" w:cs="仿宋_GB2312"/>
          <w:b w:val="0"/>
          <w:bCs w:val="0"/>
          <w:snapToGrid w:val="0"/>
          <w:spacing w:val="0"/>
          <w:w w:val="100"/>
          <w:kern w:val="0"/>
          <w:sz w:val="32"/>
          <w:szCs w:val="32"/>
          <w:highlight w:val="none"/>
          <w:lang w:eastAsia="zh-CN"/>
        </w:rPr>
        <w:t>依托复兴</w:t>
      </w:r>
      <w:r>
        <w:rPr>
          <w:rFonts w:hint="eastAsia" w:ascii="仿宋_GB2312" w:hAnsi="仿宋_GB2312" w:eastAsia="仿宋_GB2312" w:cs="仿宋_GB2312"/>
          <w:b w:val="0"/>
          <w:bCs w:val="0"/>
          <w:snapToGrid w:val="0"/>
          <w:spacing w:val="0"/>
          <w:w w:val="100"/>
          <w:kern w:val="0"/>
          <w:sz w:val="32"/>
          <w:szCs w:val="32"/>
          <w:highlight w:val="none"/>
          <w:lang w:val="en-US" w:eastAsia="zh-CN"/>
        </w:rPr>
        <w:t>岛</w:t>
      </w:r>
      <w:r>
        <w:rPr>
          <w:rFonts w:hint="eastAsia" w:ascii="仿宋_GB2312" w:hAnsi="仿宋_GB2312" w:eastAsia="仿宋_GB2312" w:cs="仿宋_GB2312"/>
          <w:b w:val="0"/>
          <w:bCs w:val="0"/>
          <w:snapToGrid w:val="0"/>
          <w:spacing w:val="0"/>
          <w:w w:val="100"/>
          <w:kern w:val="0"/>
          <w:sz w:val="32"/>
          <w:szCs w:val="32"/>
          <w:highlight w:val="none"/>
          <w:lang w:eastAsia="zh-CN"/>
        </w:rPr>
        <w:t>创客学院、</w:t>
      </w:r>
      <w:r>
        <w:rPr>
          <w:rFonts w:hint="eastAsia" w:ascii="仿宋_GB2312" w:hAnsi="仿宋_GB2312" w:eastAsia="仿宋_GB2312" w:cs="仿宋_GB2312"/>
          <w:b w:val="0"/>
          <w:bCs w:val="0"/>
          <w:snapToGrid w:val="0"/>
          <w:spacing w:val="0"/>
          <w:w w:val="100"/>
          <w:kern w:val="0"/>
          <w:sz w:val="32"/>
          <w:szCs w:val="32"/>
          <w:highlight w:val="none"/>
        </w:rPr>
        <w:t>中国（上海）创业者公共实训基地</w:t>
      </w:r>
      <w:r>
        <w:rPr>
          <w:rFonts w:hint="eastAsia" w:ascii="仿宋_GB2312" w:hAnsi="仿宋_GB2312" w:eastAsia="仿宋_GB2312" w:cs="仿宋_GB2312"/>
          <w:b w:val="0"/>
          <w:bCs w:val="0"/>
          <w:snapToGrid w:val="0"/>
          <w:spacing w:val="0"/>
          <w:w w:val="100"/>
          <w:kern w:val="0"/>
          <w:sz w:val="32"/>
          <w:szCs w:val="32"/>
          <w:highlight w:val="none"/>
          <w:lang w:eastAsia="zh-CN"/>
        </w:rPr>
        <w:t>等，推荐和遴选</w:t>
      </w:r>
      <w:r>
        <w:rPr>
          <w:rFonts w:hint="eastAsia" w:ascii="仿宋_GB2312" w:hAnsi="仿宋_GB2312" w:eastAsia="仿宋_GB2312" w:cs="仿宋_GB2312"/>
          <w:b w:val="0"/>
          <w:bCs w:val="0"/>
          <w:snapToGrid w:val="0"/>
          <w:spacing w:val="0"/>
          <w:w w:val="100"/>
          <w:kern w:val="0"/>
          <w:sz w:val="32"/>
          <w:szCs w:val="32"/>
          <w:highlight w:val="none"/>
          <w:lang w:val="en-US" w:eastAsia="zh-CN"/>
        </w:rPr>
        <w:t>科学家</w:t>
      </w:r>
      <w:r>
        <w:rPr>
          <w:rFonts w:hint="eastAsia" w:ascii="仿宋_GB2312" w:hAnsi="仿宋_GB2312" w:eastAsia="仿宋_GB2312" w:cs="仿宋_GB2312"/>
          <w:b w:val="0"/>
          <w:bCs w:val="0"/>
          <w:snapToGrid w:val="0"/>
          <w:spacing w:val="0"/>
          <w:w w:val="100"/>
          <w:kern w:val="0"/>
          <w:sz w:val="32"/>
          <w:szCs w:val="32"/>
          <w:highlight w:val="none"/>
          <w:lang w:eastAsia="zh-CN"/>
        </w:rPr>
        <w:t>、</w:t>
      </w:r>
      <w:r>
        <w:rPr>
          <w:rFonts w:hint="eastAsia" w:ascii="仿宋_GB2312" w:hAnsi="仿宋_GB2312" w:eastAsia="仿宋_GB2312" w:cs="仿宋_GB2312"/>
          <w:b w:val="0"/>
          <w:bCs w:val="0"/>
          <w:snapToGrid w:val="0"/>
          <w:spacing w:val="0"/>
          <w:w w:val="100"/>
          <w:kern w:val="0"/>
          <w:sz w:val="32"/>
          <w:szCs w:val="32"/>
          <w:highlight w:val="none"/>
          <w:lang w:val="en-US" w:eastAsia="zh-CN"/>
        </w:rPr>
        <w:t>工程师、资深创业人才、连续成功创业者和</w:t>
      </w:r>
      <w:r>
        <w:rPr>
          <w:rFonts w:hint="eastAsia" w:ascii="仿宋_GB2312" w:hAnsi="仿宋_GB2312" w:eastAsia="仿宋_GB2312" w:cs="仿宋_GB2312"/>
          <w:b w:val="0"/>
          <w:bCs w:val="0"/>
          <w:snapToGrid w:val="0"/>
          <w:spacing w:val="0"/>
          <w:w w:val="100"/>
          <w:kern w:val="0"/>
          <w:sz w:val="32"/>
          <w:szCs w:val="32"/>
          <w:highlight w:val="none"/>
          <w:lang w:eastAsia="zh-CN"/>
        </w:rPr>
        <w:t>项目经理人等担任创业导师，为</w:t>
      </w:r>
      <w:r>
        <w:rPr>
          <w:rFonts w:hint="eastAsia" w:ascii="仿宋_GB2312" w:hAnsi="仿宋_GB2312" w:eastAsia="仿宋_GB2312" w:cs="仿宋_GB2312"/>
          <w:b w:val="0"/>
          <w:bCs w:val="0"/>
          <w:snapToGrid w:val="0"/>
          <w:spacing w:val="0"/>
          <w:w w:val="100"/>
          <w:kern w:val="0"/>
          <w:sz w:val="32"/>
          <w:szCs w:val="32"/>
          <w:highlight w:val="none"/>
          <w:lang w:val="en-US" w:eastAsia="zh-CN"/>
        </w:rPr>
        <w:t>OPC企业提供常态化、面对面、诊断式辅导。围绕初创阶段的核心需求，推出商业计划书打磨、市场资本对接、融资指导等品牌课程，设置投融资实训、资本路演、产业对接等实践环节，助力初创企业稳步成长。引入大厂专业服务团队入驻社区，为OPC企业配备“创业伙伴”，提供工具培训、咨询指导、资源对接等全程陪伴式服务，</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对社区给予最高1000万元支持</w:t>
      </w:r>
      <w:r>
        <w:rPr>
          <w:rFonts w:hint="eastAsia" w:ascii="仿宋_GB2312" w:hAnsi="仿宋_GB2312" w:eastAsia="仿宋_GB2312" w:cs="仿宋_GB2312"/>
          <w:b w:val="0"/>
          <w:bCs w:val="0"/>
          <w:snapToGrid w:val="0"/>
          <w:spacing w:val="0"/>
          <w:w w:val="100"/>
          <w:kern w:val="0"/>
          <w:sz w:val="32"/>
          <w:szCs w:val="32"/>
          <w:highlight w:val="none"/>
          <w:lang w:val="en-US" w:eastAsia="zh-CN"/>
        </w:rPr>
        <w:t>。</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（责任部门：区科技经济委、</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区投资促进办</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、区人力资源社会保障局）</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rPr>
          <w:rFonts w:hint="eastAsia" w:ascii="楷体_GB2312" w:hAnsi="楷体_GB2312" w:eastAsia="楷体_GB2312" w:cs="楷体_GB2312"/>
          <w:b w:val="0"/>
          <w:bCs w:val="0"/>
          <w:snapToGrid w:val="0"/>
          <w:color w:val="000000"/>
          <w:spacing w:val="0"/>
          <w:w w:val="100"/>
          <w:kern w:val="0"/>
          <w:sz w:val="32"/>
          <w:szCs w:val="32"/>
          <w:highlight w:val="none"/>
          <w:lang w:val="en-US" w:eastAsia="zh-CN" w:bidi="ar-SA"/>
        </w:rPr>
      </w:pPr>
      <w:r>
        <w:rPr>
          <w:rFonts w:hint="eastAsia" w:ascii="楷体_GB2312" w:hAnsi="楷体_GB2312" w:eastAsia="楷体_GB2312" w:cs="楷体_GB2312"/>
          <w:b w:val="0"/>
          <w:bCs w:val="0"/>
          <w:snapToGrid w:val="0"/>
          <w:color w:val="000000"/>
          <w:spacing w:val="0"/>
          <w:w w:val="100"/>
          <w:kern w:val="0"/>
          <w:sz w:val="32"/>
          <w:szCs w:val="32"/>
          <w:highlight w:val="none"/>
          <w:lang w:val="en-US" w:eastAsia="zh-CN" w:bidi="ar-SA"/>
        </w:rPr>
        <w:t>（三）集成于“事”：提供全生命周期便利化运营保障</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snapToGrid w:val="0"/>
          <w:spacing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推动各类政策服务更好契合创新创业活动，</w:t>
      </w:r>
      <w:r>
        <w:rPr>
          <w:rFonts w:hint="eastAsia" w:ascii="仿宋_GB2312" w:hAnsi="仿宋_GB2312" w:eastAsia="仿宋_GB2312" w:cs="仿宋_GB2312"/>
          <w:b w:val="0"/>
          <w:bCs w:val="0"/>
          <w:snapToGrid w:val="0"/>
          <w:spacing w:val="0"/>
          <w:w w:val="100"/>
          <w:kern w:val="0"/>
          <w:sz w:val="32"/>
          <w:szCs w:val="32"/>
          <w:highlight w:val="none"/>
          <w:lang w:val="en-US" w:eastAsia="zh-CN"/>
        </w:rPr>
        <w:t>加大对OPC企业创业的要素支持和资源链接力度，提升创业公共服务水平，加强全周期金融支撑，</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与创客更好同频共振，助力企业快速成长，</w:t>
      </w:r>
      <w:r>
        <w:rPr>
          <w:rFonts w:hint="eastAsia" w:ascii="仿宋_GB2312" w:hAnsi="仿宋_GB2312" w:eastAsia="仿宋_GB2312" w:cs="仿宋_GB2312"/>
          <w:b w:val="0"/>
          <w:bCs w:val="0"/>
          <w:snapToGrid w:val="0"/>
          <w:spacing w:val="0"/>
          <w:w w:val="100"/>
          <w:kern w:val="0"/>
          <w:sz w:val="32"/>
          <w:szCs w:val="32"/>
          <w:highlight w:val="none"/>
          <w:lang w:val="en-US" w:eastAsia="zh-CN"/>
        </w:rPr>
        <w:t>让创业者“找得到、落得了、融得快、赚得多”。</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7.提供OPC创业一件事服务。设立“一网通办”OPC服务专区，提供全程电子化登记、税务登记、政策咨询等线上一站式政务服务。扩大税务代理和代理记账两项代理服务范围，免费提供两项代理服务。链接大厂资源，为OPC企业提供</w:t>
      </w:r>
      <w:r>
        <w:rPr>
          <w:rFonts w:hint="eastAsia" w:ascii="仿宋_GB2312" w:hAnsi="仿宋_GB2312" w:eastAsia="仿宋_GB2312" w:cs="仿宋_GB2312"/>
          <w:b w:val="0"/>
          <w:bCs w:val="0"/>
          <w:snapToGrid w:val="0"/>
          <w:color w:val="000000"/>
          <w:w w:val="100"/>
          <w:kern w:val="0"/>
          <w:sz w:val="32"/>
          <w:szCs w:val="32"/>
          <w:highlight w:val="none"/>
        </w:rPr>
        <w:t>法律、财务、人力资源等专业服务</w:t>
      </w:r>
      <w:r>
        <w:rPr>
          <w:rFonts w:hint="eastAsia" w:ascii="仿宋_GB2312" w:hAnsi="仿宋_GB2312" w:eastAsia="仿宋_GB2312" w:cs="仿宋_GB2312"/>
          <w:b w:val="0"/>
          <w:bCs w:val="0"/>
          <w:snapToGrid w:val="0"/>
          <w:color w:val="000000"/>
          <w:w w:val="100"/>
          <w:kern w:val="0"/>
          <w:sz w:val="32"/>
          <w:szCs w:val="32"/>
          <w:highlight w:val="none"/>
          <w:lang w:eastAsia="zh-CN"/>
        </w:rPr>
        <w:t>。</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依托“海聚英才通”人才服务APP，赋予创业人才服务专属码，推动普适性、确定性服务“免申即享”。</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（责任部门：区市场监管局、区数据局、区投资促进办、区税务局、区人才局）</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8.做好创业空间保障。支持在经认定载体建设OPC超级个体社区，对入驻社区的OPC企业首年全额减免房租及物业费，提供完备的软硬件环境，支持企业拎包入驻。后续根据培育情况，分阶段在大学科技园等区内各类优质载体中做好拓展承接。</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（责任部门：</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区投资促进办</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、区科技经济委、定海路街道、滨江集团）</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9.强化金融全周期支撑。发挥上海首批股权投资集聚区优势，鼓励各类股权投资机构对优质OPC项目投资。</w:t>
      </w:r>
      <w:r>
        <w:rPr>
          <w:rFonts w:hint="eastAsia" w:ascii="仿宋_GB2312" w:hAnsi="仿宋_GB2312" w:eastAsia="仿宋_GB2312" w:cs="仿宋_GB2312"/>
          <w:b w:val="0"/>
          <w:bCs w:val="0"/>
          <w:snapToGrid w:val="0"/>
          <w:color w:val="000000"/>
          <w:spacing w:val="0"/>
          <w:w w:val="100"/>
          <w:kern w:val="0"/>
          <w:sz w:val="32"/>
          <w:szCs w:val="32"/>
          <w:highlight w:val="none"/>
        </w:rPr>
        <w:t>鼓励银行</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等金融</w:t>
      </w:r>
      <w:r>
        <w:rPr>
          <w:rFonts w:hint="eastAsia" w:ascii="仿宋_GB2312" w:hAnsi="仿宋_GB2312" w:eastAsia="仿宋_GB2312" w:cs="仿宋_GB2312"/>
          <w:b w:val="0"/>
          <w:bCs w:val="0"/>
          <w:snapToGrid w:val="0"/>
          <w:color w:val="000000"/>
          <w:spacing w:val="0"/>
          <w:w w:val="100"/>
          <w:kern w:val="0"/>
          <w:sz w:val="32"/>
          <w:szCs w:val="32"/>
          <w:highlight w:val="none"/>
        </w:rPr>
        <w:t>机构探索投贷联动合作模式，为</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O</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PC</w:t>
      </w:r>
      <w:r>
        <w:rPr>
          <w:rFonts w:hint="eastAsia" w:ascii="仿宋_GB2312" w:hAnsi="仿宋_GB2312" w:eastAsia="仿宋_GB2312" w:cs="仿宋_GB2312"/>
          <w:b w:val="0"/>
          <w:bCs w:val="0"/>
          <w:snapToGrid w:val="0"/>
          <w:color w:val="000000"/>
          <w:spacing w:val="0"/>
          <w:w w:val="100"/>
          <w:kern w:val="0"/>
          <w:sz w:val="32"/>
          <w:szCs w:val="32"/>
          <w:highlight w:val="none"/>
        </w:rPr>
        <w:t>企业提供股权和债权相结合的融资服务</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w:t>
      </w:r>
      <w:r>
        <w:rPr>
          <w:rFonts w:hint="eastAsia" w:ascii="仿宋_GB2312" w:hAnsi="仿宋_GB2312" w:eastAsia="仿宋_GB2312" w:cs="仿宋_GB2312"/>
          <w:b w:val="0"/>
          <w:bCs w:val="0"/>
          <w:snapToGrid w:val="0"/>
          <w:color w:val="000000"/>
          <w:spacing w:val="0"/>
          <w:w w:val="100"/>
          <w:kern w:val="0"/>
          <w:sz w:val="32"/>
          <w:szCs w:val="32"/>
          <w:highlight w:val="none"/>
        </w:rPr>
        <w:t>鼓励区属国资投资机构或区属国资参股的股权投资机构对符合条件的OPC企业进行跟投。</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（责任部门：区科技经济委、区国资委、</w:t>
      </w:r>
      <w:r>
        <w:rPr>
          <w:rFonts w:hint="eastAsia" w:ascii="仿宋_GB2312" w:hAnsi="仿宋_GB2312" w:eastAsia="仿宋_GB2312" w:cs="仿宋_GB2312"/>
          <w:b w:val="0"/>
          <w:bCs w:val="0"/>
          <w:snapToGrid w:val="0"/>
          <w:color w:val="000000"/>
          <w:spacing w:val="0"/>
          <w:w w:val="100"/>
          <w:kern w:val="0"/>
          <w:sz w:val="32"/>
          <w:szCs w:val="32"/>
          <w:highlight w:val="none"/>
        </w:rPr>
        <w:t>国资公司、科创集团</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w:t>
      </w:r>
    </w:p>
    <w:p>
      <w:pPr>
        <w:pStyle w:val="5"/>
        <w:keepNext w:val="0"/>
        <w:keepLines w:val="0"/>
        <w:pageBreakBefore w:val="0"/>
        <w:widowControl w:val="0"/>
        <w:kinsoku/>
        <w:wordWrap/>
        <w:overflowPunct w:val="0"/>
        <w:topLinePunct w:val="0"/>
        <w:autoSpaceDE/>
        <w:autoSpaceDN/>
        <w:bidi w:val="0"/>
        <w:adjustRightInd w:val="0"/>
        <w:snapToGrid w:val="0"/>
        <w:spacing w:after="0" w:line="600" w:lineRule="exact"/>
        <w:ind w:left="0" w:leftChars="0" w:firstLine="640" w:firstLineChars="200"/>
        <w:jc w:val="both"/>
        <w:textAlignment w:val="auto"/>
        <w:outlineLvl w:val="1"/>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pP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10.助力企业快速成长。鼓励OPC企业加快成果产出，</w:t>
      </w:r>
      <w:r>
        <w:rPr>
          <w:rFonts w:hint="eastAsia" w:ascii="仿宋_GB2312" w:hAnsi="仿宋_GB2312" w:eastAsia="仿宋_GB2312" w:cs="仿宋_GB2312"/>
          <w:b w:val="0"/>
          <w:bCs w:val="0"/>
          <w:snapToGrid w:val="0"/>
          <w:color w:val="000000"/>
          <w:w w:val="100"/>
          <w:kern w:val="0"/>
          <w:sz w:val="32"/>
          <w:szCs w:val="32"/>
          <w:highlight w:val="none"/>
        </w:rPr>
        <w:t>依托</w:t>
      </w:r>
      <w:r>
        <w:rPr>
          <w:rFonts w:hint="eastAsia" w:ascii="仿宋_GB2312" w:hAnsi="仿宋_GB2312" w:eastAsia="仿宋_GB2312" w:cs="仿宋_GB2312"/>
          <w:b w:val="0"/>
          <w:bCs w:val="0"/>
          <w:snapToGrid w:val="0"/>
          <w:color w:val="000000"/>
          <w:w w:val="100"/>
          <w:kern w:val="0"/>
          <w:sz w:val="32"/>
          <w:szCs w:val="32"/>
          <w:highlight w:val="none"/>
          <w:lang w:eastAsia="zh-CN"/>
        </w:rPr>
        <w:t>大厂</w:t>
      </w:r>
      <w:r>
        <w:rPr>
          <w:rFonts w:hint="eastAsia" w:ascii="仿宋_GB2312" w:hAnsi="仿宋_GB2312" w:eastAsia="仿宋_GB2312" w:cs="仿宋_GB2312"/>
          <w:b w:val="0"/>
          <w:bCs w:val="0"/>
          <w:snapToGrid w:val="0"/>
          <w:color w:val="000000"/>
          <w:w w:val="100"/>
          <w:kern w:val="0"/>
          <w:sz w:val="32"/>
          <w:szCs w:val="32"/>
          <w:highlight w:val="none"/>
        </w:rPr>
        <w:t>商业运营能力，</w:t>
      </w:r>
      <w:r>
        <w:rPr>
          <w:rFonts w:hint="eastAsia" w:ascii="仿宋_GB2312" w:hAnsi="仿宋_GB2312" w:eastAsia="仿宋_GB2312" w:cs="仿宋_GB2312"/>
          <w:b w:val="0"/>
          <w:bCs w:val="0"/>
          <w:snapToGrid w:val="0"/>
          <w:color w:val="000000"/>
          <w:w w:val="100"/>
          <w:kern w:val="0"/>
          <w:sz w:val="32"/>
          <w:szCs w:val="32"/>
          <w:highlight w:val="none"/>
          <w:lang w:eastAsia="zh-CN"/>
        </w:rPr>
        <w:t>加强</w:t>
      </w:r>
      <w:r>
        <w:rPr>
          <w:rFonts w:hint="eastAsia" w:ascii="仿宋_GB2312" w:hAnsi="仿宋_GB2312" w:eastAsia="仿宋_GB2312" w:cs="仿宋_GB2312"/>
          <w:b w:val="0"/>
          <w:bCs w:val="0"/>
          <w:snapToGrid w:val="0"/>
          <w:color w:val="000000"/>
          <w:w w:val="100"/>
          <w:kern w:val="0"/>
          <w:sz w:val="32"/>
          <w:szCs w:val="32"/>
          <w:highlight w:val="none"/>
          <w:lang w:val="en-US" w:eastAsia="zh-CN"/>
        </w:rPr>
        <w:t>OPC</w:t>
      </w:r>
      <w:r>
        <w:rPr>
          <w:rFonts w:hint="eastAsia" w:ascii="仿宋_GB2312" w:hAnsi="仿宋_GB2312" w:eastAsia="仿宋_GB2312" w:cs="仿宋_GB2312"/>
          <w:b w:val="0"/>
          <w:bCs w:val="0"/>
          <w:snapToGrid w:val="0"/>
          <w:color w:val="000000"/>
          <w:w w:val="100"/>
          <w:kern w:val="0"/>
          <w:sz w:val="32"/>
          <w:szCs w:val="32"/>
          <w:highlight w:val="none"/>
        </w:rPr>
        <w:t>优质产品</w:t>
      </w:r>
      <w:r>
        <w:rPr>
          <w:rFonts w:hint="eastAsia" w:ascii="仿宋_GB2312" w:hAnsi="仿宋_GB2312" w:eastAsia="仿宋_GB2312" w:cs="仿宋_GB2312"/>
          <w:b w:val="0"/>
          <w:bCs w:val="0"/>
          <w:snapToGrid w:val="0"/>
          <w:color w:val="000000"/>
          <w:w w:val="100"/>
          <w:kern w:val="0"/>
          <w:sz w:val="32"/>
          <w:szCs w:val="32"/>
          <w:highlight w:val="none"/>
          <w:lang w:eastAsia="zh-CN"/>
        </w:rPr>
        <w:t>营销推流，助力效益落地、快速变现。</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发挥数字经济数据创新实验室功能，为OPC企业提供场景数据支持。</w:t>
      </w:r>
      <w:r>
        <w:rPr>
          <w:rFonts w:hint="eastAsia" w:ascii="仿宋_GB2312" w:hAnsi="仿宋_GB2312" w:eastAsia="仿宋_GB2312" w:cs="仿宋_GB2312"/>
          <w:b w:val="0"/>
          <w:bCs w:val="0"/>
          <w:snapToGrid w:val="0"/>
          <w:color w:val="000000"/>
          <w:w w:val="100"/>
          <w:kern w:val="0"/>
          <w:sz w:val="32"/>
          <w:szCs w:val="32"/>
          <w:highlight w:val="none"/>
          <w:lang w:eastAsia="zh-CN"/>
        </w:rPr>
        <w:t>支持</w:t>
      </w:r>
      <w:r>
        <w:rPr>
          <w:rFonts w:hint="eastAsia" w:ascii="仿宋_GB2312" w:hAnsi="仿宋_GB2312" w:eastAsia="仿宋_GB2312" w:cs="仿宋_GB2312"/>
          <w:b w:val="0"/>
          <w:bCs w:val="0"/>
          <w:snapToGrid w:val="0"/>
          <w:color w:val="000000"/>
          <w:w w:val="100"/>
          <w:kern w:val="0"/>
          <w:sz w:val="32"/>
          <w:szCs w:val="32"/>
          <w:highlight w:val="none"/>
          <w:lang w:val="en-US" w:eastAsia="zh-CN"/>
        </w:rPr>
        <w:t>OPC成果参加</w:t>
      </w:r>
      <w:r>
        <w:rPr>
          <w:rFonts w:hint="eastAsia" w:ascii="仿宋_GB2312" w:hAnsi="仿宋_GB2312" w:eastAsia="仿宋_GB2312" w:cs="仿宋_GB2312"/>
          <w:b w:val="0"/>
          <w:bCs w:val="0"/>
          <w:snapToGrid w:val="0"/>
          <w:color w:val="000000"/>
          <w:w w:val="100"/>
          <w:kern w:val="0"/>
          <w:sz w:val="32"/>
          <w:szCs w:val="32"/>
          <w:highlight w:val="none"/>
          <w:lang w:eastAsia="zh-CN"/>
        </w:rPr>
        <w:t>政府、行业等</w:t>
      </w:r>
      <w:r>
        <w:rPr>
          <w:rFonts w:hint="eastAsia" w:ascii="仿宋_GB2312" w:hAnsi="仿宋_GB2312" w:eastAsia="仿宋_GB2312" w:cs="仿宋_GB2312"/>
          <w:b w:val="0"/>
          <w:bCs w:val="0"/>
          <w:snapToGrid w:val="0"/>
          <w:color w:val="000000"/>
          <w:w w:val="100"/>
          <w:kern w:val="0"/>
          <w:sz w:val="32"/>
          <w:szCs w:val="32"/>
          <w:highlight w:val="none"/>
          <w:lang w:val="en-US" w:eastAsia="zh-CN"/>
        </w:rPr>
        <w:t>各类评选，对优秀成果给予奖励。</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鼓励优秀成果在杨浦首发出海，帮助企业规范有序申报数据出境安全评估等。</w:t>
      </w:r>
      <w:r>
        <w:rPr>
          <w:rFonts w:hint="eastAsia" w:ascii="仿宋_GB2312" w:hAnsi="仿宋_GB2312" w:eastAsia="仿宋_GB2312" w:cs="仿宋_GB2312"/>
          <w:b w:val="0"/>
          <w:bCs w:val="0"/>
          <w:snapToGrid w:val="0"/>
          <w:color w:val="000000"/>
          <w:spacing w:val="0"/>
          <w:w w:val="100"/>
          <w:kern w:val="0"/>
          <w:sz w:val="32"/>
          <w:szCs w:val="32"/>
          <w:highlight w:val="none"/>
        </w:rPr>
        <w:t>对获得上海市知识产权创新奖项的</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OPC企业</w:t>
      </w:r>
      <w:r>
        <w:rPr>
          <w:rFonts w:hint="eastAsia" w:ascii="仿宋_GB2312" w:hAnsi="仿宋_GB2312" w:eastAsia="仿宋_GB2312" w:cs="仿宋_GB2312"/>
          <w:b w:val="0"/>
          <w:bCs w:val="0"/>
          <w:snapToGrid w:val="0"/>
          <w:color w:val="000000"/>
          <w:spacing w:val="0"/>
          <w:w w:val="100"/>
          <w:kern w:val="0"/>
          <w:sz w:val="32"/>
          <w:szCs w:val="32"/>
          <w:highlight w:val="none"/>
        </w:rPr>
        <w:t>给予一次性10万</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元</w:t>
      </w:r>
      <w:r>
        <w:rPr>
          <w:rFonts w:hint="eastAsia" w:ascii="仿宋_GB2312" w:hAnsi="仿宋_GB2312" w:eastAsia="仿宋_GB2312" w:cs="仿宋_GB2312"/>
          <w:b w:val="0"/>
          <w:bCs w:val="0"/>
          <w:snapToGrid w:val="0"/>
          <w:color w:val="000000"/>
          <w:spacing w:val="0"/>
          <w:w w:val="100"/>
          <w:kern w:val="0"/>
          <w:sz w:val="32"/>
          <w:szCs w:val="32"/>
          <w:highlight w:val="none"/>
        </w:rPr>
        <w:t>的</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奖励。</w:t>
      </w:r>
      <w:r>
        <w:rPr>
          <w:rFonts w:hint="eastAsia" w:ascii="仿宋_GB2312" w:hAnsi="仿宋_GB2312" w:eastAsia="仿宋_GB2312" w:cs="仿宋_GB2312"/>
          <w:b w:val="0"/>
          <w:bCs w:val="0"/>
          <w:snapToGrid w:val="0"/>
          <w:color w:val="000000"/>
          <w:w w:val="100"/>
          <w:kern w:val="0"/>
          <w:sz w:val="32"/>
          <w:szCs w:val="32"/>
          <w:highlight w:val="none"/>
        </w:rPr>
        <w:t>筛选一批</w:t>
      </w:r>
      <w:r>
        <w:rPr>
          <w:rFonts w:hint="eastAsia" w:ascii="仿宋_GB2312" w:hAnsi="仿宋_GB2312" w:eastAsia="仿宋_GB2312" w:cs="仿宋_GB2312"/>
          <w:b w:val="0"/>
          <w:bCs w:val="0"/>
          <w:snapToGrid w:val="0"/>
          <w:color w:val="000000"/>
          <w:w w:val="100"/>
          <w:kern w:val="0"/>
          <w:sz w:val="32"/>
          <w:szCs w:val="32"/>
          <w:highlight w:val="none"/>
          <w:lang w:eastAsia="zh-CN"/>
        </w:rPr>
        <w:t>高潜力</w:t>
      </w:r>
      <w:r>
        <w:rPr>
          <w:rFonts w:hint="eastAsia" w:ascii="仿宋_GB2312" w:hAnsi="仿宋_GB2312" w:eastAsia="仿宋_GB2312" w:cs="仿宋_GB2312"/>
          <w:b w:val="0"/>
          <w:bCs w:val="0"/>
          <w:snapToGrid w:val="0"/>
          <w:color w:val="000000"/>
          <w:w w:val="100"/>
          <w:kern w:val="0"/>
          <w:sz w:val="32"/>
          <w:szCs w:val="32"/>
          <w:highlight w:val="none"/>
          <w:lang w:val="en-US" w:eastAsia="zh-CN"/>
        </w:rPr>
        <w:t>OPC企业</w:t>
      </w:r>
      <w:r>
        <w:rPr>
          <w:rFonts w:hint="eastAsia" w:ascii="仿宋_GB2312" w:hAnsi="仿宋_GB2312" w:eastAsia="仿宋_GB2312" w:cs="仿宋_GB2312"/>
          <w:b w:val="0"/>
          <w:bCs w:val="0"/>
          <w:snapToGrid w:val="0"/>
          <w:color w:val="000000"/>
          <w:w w:val="100"/>
          <w:kern w:val="0"/>
          <w:sz w:val="32"/>
          <w:szCs w:val="32"/>
          <w:highlight w:val="none"/>
        </w:rPr>
        <w:t>纳入高新技术企业、专精特新、科技小巨人等体系予以培育。</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（责任部门：区投资促进办</w:t>
      </w:r>
      <w:r>
        <w:rPr>
          <w:rFonts w:hint="eastAsia" w:ascii="仿宋_GB2312" w:hAnsi="仿宋_GB2312" w:eastAsia="仿宋_GB2312" w:cs="仿宋_GB2312"/>
          <w:b w:val="0"/>
          <w:bCs w:val="0"/>
          <w:snapToGrid w:val="0"/>
          <w:color w:val="000000"/>
          <w:spacing w:val="0"/>
          <w:w w:val="100"/>
          <w:kern w:val="0"/>
          <w:sz w:val="32"/>
          <w:szCs w:val="32"/>
          <w:highlight w:val="none"/>
        </w:rPr>
        <w:t>、</w:t>
      </w:r>
      <w:r>
        <w:rPr>
          <w:rFonts w:hint="eastAsia" w:ascii="仿宋_GB2312" w:hAnsi="仿宋_GB2312" w:eastAsia="仿宋_GB2312" w:cs="仿宋_GB2312"/>
          <w:b w:val="0"/>
          <w:bCs w:val="0"/>
          <w:snapToGrid w:val="0"/>
          <w:color w:val="000000"/>
          <w:spacing w:val="0"/>
          <w:w w:val="100"/>
          <w:kern w:val="0"/>
          <w:sz w:val="32"/>
          <w:szCs w:val="32"/>
          <w:highlight w:val="none"/>
          <w:lang w:eastAsia="zh-CN"/>
        </w:rPr>
        <w:t>区数据局、区文化旅游局、区委网信办、</w:t>
      </w:r>
      <w:r>
        <w:rPr>
          <w:rFonts w:hint="eastAsia" w:ascii="仿宋_GB2312" w:hAnsi="仿宋_GB2312" w:eastAsia="仿宋_GB2312" w:cs="仿宋_GB2312"/>
          <w:b w:val="0"/>
          <w:bCs w:val="0"/>
          <w:i w:val="0"/>
          <w:iCs w:val="0"/>
          <w:caps w:val="0"/>
          <w:snapToGrid w:val="0"/>
          <w:color w:val="000000"/>
          <w:spacing w:val="0"/>
          <w:w w:val="100"/>
          <w:kern w:val="0"/>
          <w:sz w:val="32"/>
          <w:szCs w:val="32"/>
          <w:highlight w:val="none"/>
          <w:lang w:val="en-US" w:eastAsia="zh-CN"/>
        </w:rPr>
        <w:t>区市场监管局、区科技经济委</w:t>
      </w:r>
      <w:r>
        <w:rPr>
          <w:rFonts w:hint="eastAsia" w:ascii="仿宋_GB2312" w:hAnsi="仿宋_GB2312" w:eastAsia="仿宋_GB2312" w:cs="仿宋_GB2312"/>
          <w:b w:val="0"/>
          <w:bCs w:val="0"/>
          <w:snapToGrid w:val="0"/>
          <w:color w:val="000000"/>
          <w:spacing w:val="0"/>
          <w:w w:val="100"/>
          <w:kern w:val="0"/>
          <w:sz w:val="32"/>
          <w:szCs w:val="32"/>
          <w:highlight w:val="none"/>
          <w:lang w:val="en-US" w:eastAsia="zh-CN"/>
        </w:rPr>
        <w:t>）</w:t>
      </w:r>
    </w:p>
    <w:p>
      <w:pPr>
        <w:keepNext w:val="0"/>
        <w:keepLines w:val="0"/>
        <w:pageBreakBefore w:val="0"/>
        <w:widowControl w:val="0"/>
        <w:kinsoku/>
        <w:wordWrap/>
        <w:overflowPunct w:val="0"/>
        <w:topLinePunct w:val="0"/>
        <w:autoSpaceDE/>
        <w:autoSpaceDN/>
        <w:bidi w:val="0"/>
        <w:adjustRightInd w:val="0"/>
        <w:snapToGrid w:val="0"/>
        <w:spacing w:line="600" w:lineRule="exact"/>
        <w:ind w:left="0" w:leftChars="0" w:firstLine="640" w:firstLineChars="200"/>
        <w:jc w:val="both"/>
        <w:textAlignment w:val="auto"/>
        <w:rPr>
          <w:rFonts w:hint="eastAsia" w:ascii="仿宋_GB2312" w:hAnsi="仿宋_GB2312" w:eastAsia="仿宋_GB2312" w:cs="仿宋_GB2312"/>
          <w:snapToGrid w:val="0"/>
          <w:color w:val="000000"/>
          <w:spacing w:val="0"/>
          <w:w w:val="100"/>
          <w:kern w:val="0"/>
          <w:sz w:val="32"/>
          <w:szCs w:val="32"/>
          <w:highlight w:val="none"/>
        </w:rPr>
      </w:pPr>
      <w:r>
        <w:rPr>
          <w:rFonts w:hint="eastAsia" w:ascii="仿宋_GB2312" w:hAnsi="仿宋_GB2312" w:eastAsia="仿宋_GB2312" w:cs="仿宋_GB2312"/>
          <w:snapToGrid w:val="0"/>
          <w:color w:val="000000"/>
          <w:spacing w:val="0"/>
          <w:w w:val="100"/>
          <w:kern w:val="0"/>
          <w:sz w:val="32"/>
          <w:szCs w:val="32"/>
          <w:highlight w:val="none"/>
        </w:rPr>
        <w:t>本政策实施期间，如可同时享受本区其他政策的，按照“从高不重复”原则执行。在实施过程中如遇国家、上海市颁布新政策，按新政策执行。</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outlineLvl w:val="9"/>
        <w:rPr>
          <w:rFonts w:hint="eastAsia" w:ascii="仿宋_GB2312" w:hAnsi="仿宋_GB2312" w:eastAsia="仿宋_GB2312" w:cs="仿宋_GB2312"/>
          <w:snapToGrid w:val="0"/>
          <w:kern w:val="0"/>
          <w:sz w:val="32"/>
          <w:szCs w:val="24"/>
        </w:rPr>
      </w:pPr>
      <w:r>
        <w:rPr>
          <w:rFonts w:hint="eastAsia" w:ascii="仿宋_GB2312" w:hAnsi="仿宋_GB2312" w:eastAsia="仿宋_GB2312" w:cs="仿宋_GB2312"/>
          <w:snapToGrid w:val="0"/>
          <w:spacing w:val="0"/>
          <w:w w:val="100"/>
          <w:kern w:val="0"/>
          <w:sz w:val="32"/>
          <w:szCs w:val="32"/>
          <w:highlight w:val="none"/>
        </w:rPr>
        <w:t>本政策自印发之日起施行</w:t>
      </w:r>
      <w:r>
        <w:rPr>
          <w:rFonts w:hint="eastAsia" w:ascii="仿宋_GB2312" w:hAnsi="仿宋_GB2312" w:eastAsia="仿宋_GB2312" w:cs="仿宋_GB2312"/>
          <w:snapToGrid w:val="0"/>
          <w:spacing w:val="0"/>
          <w:w w:val="100"/>
          <w:kern w:val="0"/>
          <w:sz w:val="32"/>
          <w:szCs w:val="32"/>
          <w:highlight w:val="none"/>
          <w:lang w:eastAsia="zh-CN"/>
        </w:rPr>
        <w:t>，有效期一年</w:t>
      </w:r>
      <w:r>
        <w:rPr>
          <w:rFonts w:hint="eastAsia" w:ascii="仿宋_GB2312" w:hAnsi="仿宋_GB2312" w:eastAsia="仿宋_GB2312" w:cs="仿宋_GB2312"/>
          <w:snapToGrid w:val="0"/>
          <w:color w:val="000000"/>
          <w:spacing w:val="0"/>
          <w:w w:val="100"/>
          <w:kern w:val="0"/>
          <w:sz w:val="32"/>
          <w:szCs w:val="32"/>
          <w:highlight w:val="none"/>
        </w:rPr>
        <w:t>。</w:t>
      </w:r>
      <w:r>
        <w:rPr>
          <w:rFonts w:hint="eastAsia" w:ascii="仿宋_GB2312" w:hAnsi="仿宋_GB2312" w:eastAsia="仿宋_GB2312" w:cs="仿宋_GB2312"/>
          <w:snapToGrid w:val="0"/>
          <w:color w:val="000000"/>
          <w:spacing w:val="0"/>
          <w:w w:val="100"/>
          <w:kern w:val="0"/>
          <w:sz w:val="32"/>
          <w:szCs w:val="32"/>
          <w:highlight w:val="none"/>
          <w:lang w:eastAsia="zh-CN"/>
        </w:rPr>
        <w:t>政策实行期间，根据年度评估情况，动态调整优化。</w:t>
      </w:r>
    </w:p>
    <w:p>
      <w:pPr>
        <w:overflowPunct w:val="0"/>
        <w:adjustRightInd w:val="0"/>
        <w:snapToGrid w:val="0"/>
        <w:spacing w:line="600" w:lineRule="exact"/>
        <w:ind w:firstLine="643"/>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bookmarkStart w:id="1" w:name="_GoBack"/>
      <w:bookmarkEnd w:id="1"/>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overflowPunct w:val="0"/>
        <w:adjustRightInd w:val="0"/>
        <w:snapToGrid w:val="0"/>
        <w:spacing w:line="600" w:lineRule="exact"/>
        <w:rPr>
          <w:rFonts w:ascii="Times New Roman" w:hAnsi="Times New Roman" w:eastAsia="仿宋_GB2312" w:cs="Times New Roman"/>
          <w:snapToGrid w:val="0"/>
          <w:kern w:val="0"/>
          <w:sz w:val="32"/>
          <w:szCs w:val="24"/>
        </w:rPr>
      </w:pPr>
    </w:p>
    <w:p>
      <w:pPr>
        <w:keepNext w:val="0"/>
        <w:keepLines w:val="0"/>
        <w:pageBreakBefore w:val="0"/>
        <w:widowControl w:val="0"/>
        <w:pBdr>
          <w:top w:val="single" w:color="auto" w:sz="6" w:space="1"/>
          <w:left w:val="none" w:color="auto" w:sz="0" w:space="4"/>
          <w:bottom w:val="none" w:color="auto" w:sz="0" w:space="1"/>
          <w:right w:val="none" w:color="auto" w:sz="0" w:space="4"/>
          <w:between w:val="none" w:color="auto" w:sz="0" w:space="0"/>
        </w:pBdr>
        <w:kinsoku/>
        <w:wordWrap/>
        <w:overflowPunct w:val="0"/>
        <w:topLinePunct w:val="0"/>
        <w:autoSpaceDE/>
        <w:autoSpaceDN/>
        <w:bidi w:val="0"/>
        <w:adjustRightInd/>
        <w:snapToGrid/>
        <w:spacing w:beforeAutospacing="0" w:afterAutospacing="0" w:line="400" w:lineRule="exact"/>
        <w:ind w:firstLine="280" w:firstLineChars="100"/>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抄送：区委各部门、区人大办、</w:t>
      </w:r>
      <w:r>
        <w:rPr>
          <w:rFonts w:hint="eastAsia" w:ascii="仿宋_GB2312" w:hAnsi="宋体" w:eastAsia="仿宋_GB2312" w:cs="宋体"/>
          <w:kern w:val="0"/>
          <w:sz w:val="28"/>
          <w:szCs w:val="28"/>
          <w:lang w:eastAsia="zh-CN"/>
        </w:rPr>
        <w:t>区</w:t>
      </w:r>
      <w:r>
        <w:rPr>
          <w:rFonts w:hint="eastAsia" w:ascii="仿宋_GB2312" w:hAnsi="宋体" w:eastAsia="仿宋_GB2312" w:cs="宋体"/>
          <w:kern w:val="0"/>
          <w:sz w:val="28"/>
          <w:szCs w:val="28"/>
        </w:rPr>
        <w:t>政协办、区法院、区检察院、</w:t>
      </w:r>
    </w:p>
    <w:p>
      <w:pPr>
        <w:keepNext w:val="0"/>
        <w:keepLines w:val="0"/>
        <w:pageBreakBefore w:val="0"/>
        <w:widowControl w:val="0"/>
        <w:kinsoku/>
        <w:wordWrap/>
        <w:overflowPunct w:val="0"/>
        <w:topLinePunct w:val="0"/>
        <w:autoSpaceDE/>
        <w:autoSpaceDN/>
        <w:bidi w:val="0"/>
        <w:adjustRightInd/>
        <w:snapToGrid/>
        <w:spacing w:beforeAutospacing="0" w:afterAutospacing="0" w:line="400" w:lineRule="exact"/>
        <w:ind w:firstLine="1120" w:firstLineChars="400"/>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区各人民团体。</w:t>
      </w:r>
    </w:p>
    <w:p>
      <w:pPr>
        <w:keepNext w:val="0"/>
        <w:keepLines w:val="0"/>
        <w:pageBreakBefore w:val="0"/>
        <w:widowControl w:val="0"/>
        <w:pBdr>
          <w:top w:val="single" w:color="auto" w:sz="4" w:space="1"/>
          <w:left w:val="none" w:color="auto" w:sz="0" w:space="4"/>
          <w:bottom w:val="single" w:color="auto" w:sz="6" w:space="1"/>
          <w:right w:val="none" w:color="auto" w:sz="0" w:space="4"/>
          <w:between w:val="none" w:color="auto" w:sz="0" w:space="0"/>
        </w:pBdr>
        <w:kinsoku/>
        <w:wordWrap/>
        <w:overflowPunct w:val="0"/>
        <w:topLinePunct w:val="0"/>
        <w:autoSpaceDE/>
        <w:autoSpaceDN/>
        <w:bidi w:val="0"/>
        <w:adjustRightInd/>
        <w:snapToGrid/>
        <w:spacing w:beforeAutospacing="0" w:afterAutospacing="0" w:line="400" w:lineRule="exact"/>
        <w:ind w:firstLine="280" w:firstLineChars="100"/>
        <w:jc w:val="left"/>
        <w:textAlignment w:val="auto"/>
        <w:rPr>
          <w:rFonts w:hint="eastAsia" w:ascii="仿宋_GB2312" w:hAnsi="仿宋_GB2312" w:eastAsia="仿宋_GB2312" w:cs="仿宋_GB2312"/>
          <w:spacing w:val="-6"/>
          <w:sz w:val="32"/>
          <w:szCs w:val="32"/>
          <w:lang w:eastAsia="zh-CN"/>
        </w:rPr>
      </w:pPr>
      <w:r>
        <w:rPr>
          <w:rFonts w:hint="eastAsia" w:ascii="仿宋_GB2312" w:hAnsi="宋体" w:eastAsia="仿宋_GB2312" w:cs="宋体"/>
          <w:kern w:val="0"/>
          <w:sz w:val="28"/>
          <w:szCs w:val="28"/>
        </w:rPr>
        <w:t xml:space="preserve">上海市杨浦区人民政府办公室        </w:t>
      </w: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 xml:space="preserve">   20</w:t>
      </w:r>
      <w:r>
        <w:rPr>
          <w:rFonts w:hint="eastAsia" w:ascii="仿宋_GB2312" w:hAnsi="仿宋_GB2312" w:eastAsia="仿宋_GB2312" w:cs="仿宋_GB2312"/>
          <w:kern w:val="0"/>
          <w:sz w:val="28"/>
          <w:szCs w:val="28"/>
          <w:lang w:val="en-US" w:eastAsia="zh-CN"/>
        </w:rPr>
        <w:t>26</w:t>
      </w:r>
      <w:r>
        <w:rPr>
          <w:rFonts w:hint="eastAsia" w:ascii="仿宋_GB2312" w:hAnsi="仿宋_GB2312" w:eastAsia="仿宋_GB2312" w:cs="仿宋_GB2312"/>
          <w:kern w:val="0"/>
          <w:sz w:val="28"/>
          <w:szCs w:val="28"/>
        </w:rPr>
        <w:t>年</w:t>
      </w:r>
      <w:r>
        <w:rPr>
          <w:rFonts w:hint="eastAsia" w:ascii="仿宋_GB2312" w:hAnsi="仿宋_GB2312" w:eastAsia="仿宋_GB2312" w:cs="仿宋_GB2312"/>
          <w:kern w:val="0"/>
          <w:sz w:val="28"/>
          <w:szCs w:val="28"/>
          <w:lang w:val="en-US" w:eastAsia="zh-CN"/>
        </w:rPr>
        <w:t>5</w:t>
      </w:r>
      <w:r>
        <w:rPr>
          <w:rFonts w:hint="eastAsia" w:ascii="仿宋_GB2312" w:hAnsi="仿宋_GB2312" w:eastAsia="仿宋_GB2312" w:cs="仿宋_GB2312"/>
          <w:kern w:val="0"/>
          <w:sz w:val="28"/>
          <w:szCs w:val="28"/>
        </w:rPr>
        <w:t>月</w:t>
      </w:r>
      <w:r>
        <w:rPr>
          <w:rFonts w:hint="eastAsia" w:ascii="仿宋_GB2312" w:hAnsi="仿宋_GB2312" w:eastAsia="仿宋_GB2312" w:cs="仿宋_GB2312"/>
          <w:kern w:val="0"/>
          <w:sz w:val="28"/>
          <w:szCs w:val="28"/>
          <w:lang w:val="en-US" w:eastAsia="zh-CN"/>
        </w:rPr>
        <w:t>13</w:t>
      </w:r>
      <w:r>
        <w:rPr>
          <w:rFonts w:hint="eastAsia" w:ascii="仿宋_GB2312" w:hAnsi="仿宋_GB2312" w:eastAsia="仿宋_GB2312" w:cs="仿宋_GB2312"/>
          <w:kern w:val="0"/>
          <w:sz w:val="28"/>
          <w:szCs w:val="28"/>
        </w:rPr>
        <w:t>日印</w:t>
      </w:r>
      <w:r>
        <w:rPr>
          <w:rFonts w:hint="eastAsia" w:ascii="仿宋_GB2312" w:hAnsi="宋体" w:eastAsia="仿宋_GB2312" w:cs="宋体"/>
          <w:kern w:val="0"/>
          <w:sz w:val="28"/>
          <w:szCs w:val="28"/>
        </w:rPr>
        <w:t>发</w:t>
      </w:r>
    </w:p>
    <w:sectPr>
      <w:headerReference r:id="rId3" w:type="default"/>
      <w:footerReference r:id="rId4" w:type="default"/>
      <w:footerReference r:id="rId5" w:type="even"/>
      <w:pgSz w:w="11906" w:h="16838"/>
      <w:pgMar w:top="1984" w:right="1531" w:bottom="1984"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79DBB2-3821-482C-A6EE-E3A92B06A99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F6C6945-FD24-4649-85FB-F593568B8C70}"/>
  </w:font>
  <w:font w:name="Cambria">
    <w:panose1 w:val="02040503050406030204"/>
    <w:charset w:val="00"/>
    <w:family w:val="roman"/>
    <w:pitch w:val="default"/>
    <w:sig w:usb0="E00006FF" w:usb1="420024FF" w:usb2="02000000" w:usb3="00000000" w:csb0="2000019F" w:csb1="00000000"/>
  </w:font>
  <w:font w:name="Liberation Sans">
    <w:altName w:val="Segoe Print"/>
    <w:panose1 w:val="020B0604020202020204"/>
    <w:charset w:val="00"/>
    <w:family w:val="swiss"/>
    <w:pitch w:val="default"/>
    <w:sig w:usb0="00000000" w:usb1="00000000" w:usb2="00000000" w:usb3="00000000" w:csb0="6000009F" w:csb1="DFD70000"/>
  </w:font>
  <w:font w:name="Noto Sans CJK SC Regular">
    <w:altName w:val="宋体"/>
    <w:panose1 w:val="020B0500000000000000"/>
    <w:charset w:val="86"/>
    <w:family w:val="auto"/>
    <w:pitch w:val="default"/>
    <w:sig w:usb0="00000000" w:usb1="00000000" w:usb2="00000016" w:usb3="00000000" w:csb0="602E0107" w:csb1="00000000"/>
  </w:font>
  <w:font w:name="仿宋_GB2312">
    <w:panose1 w:val="02010609030101010101"/>
    <w:charset w:val="86"/>
    <w:family w:val="auto"/>
    <w:pitch w:val="default"/>
    <w:sig w:usb0="00000001" w:usb1="080E0000" w:usb2="00000000" w:usb3="00000000" w:csb0="00040000" w:csb1="00000000"/>
    <w:embedRegular r:id="rId3" w:fontKey="{593A9B65-BFED-409C-A765-C1BBC39201E3}"/>
  </w:font>
  <w:font w:name="方正小标宋简体">
    <w:panose1 w:val="02010601030101010101"/>
    <w:charset w:val="86"/>
    <w:family w:val="auto"/>
    <w:pitch w:val="default"/>
    <w:sig w:usb0="00000001" w:usb1="080E0000" w:usb2="00000000" w:usb3="00000000" w:csb0="00040000" w:csb1="00000000"/>
    <w:embedRegular r:id="rId4" w:fontKey="{A9B762EF-6CDB-4292-B39A-019EF20A965C}"/>
  </w:font>
  <w:font w:name="楷体_GB2312">
    <w:panose1 w:val="02010609030101010101"/>
    <w:charset w:val="86"/>
    <w:family w:val="auto"/>
    <w:pitch w:val="default"/>
    <w:sig w:usb0="00000001" w:usb1="080E0000" w:usb2="00000000" w:usb3="00000000" w:csb0="00040000" w:csb1="00000000"/>
    <w:embedRegular r:id="rId5" w:fontKey="{9C1095B1-51FB-4778-BD4D-2D16F1766840}"/>
  </w:font>
  <w:font w:name="华文中宋">
    <w:panose1 w:val="02010600040101010101"/>
    <w:charset w:val="86"/>
    <w:family w:val="auto"/>
    <w:pitch w:val="default"/>
    <w:sig w:usb0="00000287" w:usb1="080F0000" w:usb2="00000000" w:usb3="00000000" w:csb0="0004009F" w:csb1="DFD70000"/>
    <w:embedRegular r:id="rId6" w:fontKey="{6979EAAF-C14D-480D-89D0-117B50742269}"/>
  </w:font>
  <w:font w:name="华文仿宋">
    <w:panose1 w:val="02010600040101010101"/>
    <w:charset w:val="86"/>
    <w:family w:val="auto"/>
    <w:pitch w:val="default"/>
    <w:sig w:usb0="00000000" w:usb1="00000000" w:usb2="00000000" w:usb3="00000000" w:csb0="00000000" w:csb1="00000000"/>
    <w:embedRegular r:id="rId7" w:fontKey="{FA5D54BF-A2D9-444A-B01C-4F920AACA6AF}"/>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rPr>
        <w:rFonts w:ascii="Calibri" w:hAnsi="Calibri" w:eastAsia="宋体" w:cs="Times New Roman"/>
        <w:sz w:val="18"/>
      </w:rPr>
    </w:pPr>
    <w:r>
      <w:rPr>
        <w:sz w:val="18"/>
      </w:rPr>
      <mc:AlternateContent>
        <mc:Choice Requires="wps">
          <w:drawing>
            <wp:anchor distT="0" distB="0" distL="114300" distR="114300" simplePos="0" relativeHeight="251659264" behindDoc="0" locked="0" layoutInCell="1" allowOverlap="1">
              <wp:simplePos x="0" y="0"/>
              <wp:positionH relativeFrom="margin">
                <wp:posOffset>5191125</wp:posOffset>
              </wp:positionH>
              <wp:positionV relativeFrom="paragraph">
                <wp:posOffset>-490855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08.75pt;margin-top:-38.65pt;height:144pt;width:144pt;mso-position-horizontal-relative:margin;mso-wrap-style:none;z-index:251659264;mso-width-relative:page;mso-height-relative:page;" filled="f" stroked="f" coordsize="21600,21600" o:gfxdata="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YEKCe2QAAAAwBAAAPAAAAAAAAAAEAIAAAACIAAABkcnMvZG93bnJldi54&#10;bWxQSwECFAAUAAAACACHTuJA4YDTjjICAABhBAAADgAAAAAAAAABACAAAAAoAQAAZHJzL2Uyb0Rv&#10;Yy54bWxQSwUGAAAAAAYABgBZAQAAzAU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posOffset>3810</wp:posOffset>
              </wp:positionH>
              <wp:positionV relativeFrom="paragraph">
                <wp:posOffset>-461645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0.3pt;margin-top:-36.35pt;height:144pt;width:144pt;mso-position-horizontal-relative:margin;mso-wrap-style:none;z-index:251660288;mso-width-relative:page;mso-height-relative:page;" filled="f" stroked="f" coordsize="21600,21600" o:gfxdata="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z8ZJ41gAAAAgBAAAPAAAAAAAAAAEAIAAAACIAAABkcnMvZG93bnJldi54bWxQ&#10;SwECFAAUAAAACACHTuJAuow4KzICAABhBAAADgAAAAAAAAABACAAAAAlAQAAZHJzL2Uyb0RvYy54&#10;bWxQSwUGAAAAAAYABgBZAQAAyQU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272"/>
      </w:tabs>
      <w:rPr>
        <w:rFonts w:ascii="Calibri" w:hAnsi="Calibri" w:eastAsia="宋体" w:cs="Times New Roman"/>
      </w:rPr>
    </w:pPr>
    <w:r>
      <w:rPr>
        <w:rFonts w:ascii="Calibri" w:hAnsi="Calibri" w:eastAsia="宋体" w:cs="Times New Roman"/>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
  <w:drawingGridVerticalSpacing w:val="1"/>
  <w:displayHorizontalDrawingGridEvery w:val="1"/>
  <w:displayVerticalDrawingGridEvery w:val="1"/>
  <w:doNotUseMarginsForDrawingGridOrigin w:val="1"/>
  <w:drawingGridHorizontalOrigin w:val="0"/>
  <w:drawingGridVerticalOrigin w:val="0"/>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hN2ZmOTExNWExODI4YzJmNGRjMzE2MTFkMjAwNTgifQ=="/>
  </w:docVars>
  <w:rsids>
    <w:rsidRoot w:val="00172A27"/>
    <w:rsid w:val="015D0D5E"/>
    <w:rsid w:val="018B3268"/>
    <w:rsid w:val="02BE582C"/>
    <w:rsid w:val="02F54FC6"/>
    <w:rsid w:val="04AC5B58"/>
    <w:rsid w:val="05FE745D"/>
    <w:rsid w:val="063460EE"/>
    <w:rsid w:val="0B477BF4"/>
    <w:rsid w:val="0B5E21E2"/>
    <w:rsid w:val="0B602DC9"/>
    <w:rsid w:val="0BD76A86"/>
    <w:rsid w:val="0C322DE7"/>
    <w:rsid w:val="0E6B0B75"/>
    <w:rsid w:val="0F296F62"/>
    <w:rsid w:val="11501174"/>
    <w:rsid w:val="12ED4515"/>
    <w:rsid w:val="13051255"/>
    <w:rsid w:val="14773A8D"/>
    <w:rsid w:val="165B5740"/>
    <w:rsid w:val="16F07B27"/>
    <w:rsid w:val="177F8C01"/>
    <w:rsid w:val="178A2457"/>
    <w:rsid w:val="17A74297"/>
    <w:rsid w:val="17F83137"/>
    <w:rsid w:val="17FF8C9A"/>
    <w:rsid w:val="18B62666"/>
    <w:rsid w:val="18D45952"/>
    <w:rsid w:val="19FAEB0F"/>
    <w:rsid w:val="1AD5585A"/>
    <w:rsid w:val="1BB27AA1"/>
    <w:rsid w:val="1D322C47"/>
    <w:rsid w:val="1D3C380D"/>
    <w:rsid w:val="1DBD5774"/>
    <w:rsid w:val="1E5ED998"/>
    <w:rsid w:val="1E7F380C"/>
    <w:rsid w:val="1EC16A83"/>
    <w:rsid w:val="1F5FF45D"/>
    <w:rsid w:val="206A2C2D"/>
    <w:rsid w:val="217E86E8"/>
    <w:rsid w:val="22AD4B1E"/>
    <w:rsid w:val="2423153B"/>
    <w:rsid w:val="257F6180"/>
    <w:rsid w:val="2A1F4553"/>
    <w:rsid w:val="2BDF121E"/>
    <w:rsid w:val="2C741F3F"/>
    <w:rsid w:val="2DD91252"/>
    <w:rsid w:val="2FAF8F8E"/>
    <w:rsid w:val="2FD9C57E"/>
    <w:rsid w:val="33EE43BE"/>
    <w:rsid w:val="35FF6941"/>
    <w:rsid w:val="37DD88D3"/>
    <w:rsid w:val="37EF582A"/>
    <w:rsid w:val="384520A0"/>
    <w:rsid w:val="387F77CF"/>
    <w:rsid w:val="38EFE143"/>
    <w:rsid w:val="3A6F6034"/>
    <w:rsid w:val="3AFF9F0A"/>
    <w:rsid w:val="3B7B6A08"/>
    <w:rsid w:val="3BF70518"/>
    <w:rsid w:val="3CFF6BC0"/>
    <w:rsid w:val="3D474095"/>
    <w:rsid w:val="3D581893"/>
    <w:rsid w:val="3DB95014"/>
    <w:rsid w:val="3E6BF873"/>
    <w:rsid w:val="3E791B8A"/>
    <w:rsid w:val="3EB31CBE"/>
    <w:rsid w:val="3ECB405D"/>
    <w:rsid w:val="3F277CDA"/>
    <w:rsid w:val="3F2A77CA"/>
    <w:rsid w:val="3F7BDC48"/>
    <w:rsid w:val="3FE72148"/>
    <w:rsid w:val="3FFE5289"/>
    <w:rsid w:val="40CE4185"/>
    <w:rsid w:val="42D068DB"/>
    <w:rsid w:val="43B501C3"/>
    <w:rsid w:val="44BB6E01"/>
    <w:rsid w:val="454BFA82"/>
    <w:rsid w:val="46731A57"/>
    <w:rsid w:val="469D5DB9"/>
    <w:rsid w:val="48451C58"/>
    <w:rsid w:val="497A30FC"/>
    <w:rsid w:val="49E36EF3"/>
    <w:rsid w:val="4BFBC98E"/>
    <w:rsid w:val="4BFF5627"/>
    <w:rsid w:val="4C115F9A"/>
    <w:rsid w:val="4D090CCE"/>
    <w:rsid w:val="4E7A4988"/>
    <w:rsid w:val="4EC80E60"/>
    <w:rsid w:val="503A35E5"/>
    <w:rsid w:val="51FA46F9"/>
    <w:rsid w:val="522D6E8E"/>
    <w:rsid w:val="525210BA"/>
    <w:rsid w:val="52A92C0A"/>
    <w:rsid w:val="53CA4C80"/>
    <w:rsid w:val="53FA0C87"/>
    <w:rsid w:val="54B95421"/>
    <w:rsid w:val="54F3520F"/>
    <w:rsid w:val="55B973D3"/>
    <w:rsid w:val="570E4BCC"/>
    <w:rsid w:val="575E405D"/>
    <w:rsid w:val="57AE3713"/>
    <w:rsid w:val="57ED9A01"/>
    <w:rsid w:val="59D72485"/>
    <w:rsid w:val="5A2F3A8F"/>
    <w:rsid w:val="5A4A5760"/>
    <w:rsid w:val="5AF46361"/>
    <w:rsid w:val="5B7F2441"/>
    <w:rsid w:val="5BE90AB8"/>
    <w:rsid w:val="5BFF3795"/>
    <w:rsid w:val="5D5D84CF"/>
    <w:rsid w:val="5DDFE7C9"/>
    <w:rsid w:val="5EFB4190"/>
    <w:rsid w:val="5EFF8DA1"/>
    <w:rsid w:val="5F7FEA2D"/>
    <w:rsid w:val="5FB24168"/>
    <w:rsid w:val="5FBF1F8D"/>
    <w:rsid w:val="5FD7AC43"/>
    <w:rsid w:val="5FF11E72"/>
    <w:rsid w:val="5FF786DD"/>
    <w:rsid w:val="5FFE0D6E"/>
    <w:rsid w:val="60015178"/>
    <w:rsid w:val="64BE25DF"/>
    <w:rsid w:val="66352BF9"/>
    <w:rsid w:val="66FF74DB"/>
    <w:rsid w:val="6714680B"/>
    <w:rsid w:val="67980EC5"/>
    <w:rsid w:val="67BFF2AF"/>
    <w:rsid w:val="67D7BCEF"/>
    <w:rsid w:val="6852376A"/>
    <w:rsid w:val="69739249"/>
    <w:rsid w:val="6A3A1DDC"/>
    <w:rsid w:val="6A6F1D90"/>
    <w:rsid w:val="6B9F633B"/>
    <w:rsid w:val="6BAF14A8"/>
    <w:rsid w:val="6BFFBB5F"/>
    <w:rsid w:val="6C7F5508"/>
    <w:rsid w:val="6D081BCB"/>
    <w:rsid w:val="6DEDF1C2"/>
    <w:rsid w:val="6F4BF041"/>
    <w:rsid w:val="6F6EC15F"/>
    <w:rsid w:val="6FAD2AAC"/>
    <w:rsid w:val="6FF89FA6"/>
    <w:rsid w:val="709D4365"/>
    <w:rsid w:val="70BFB3DF"/>
    <w:rsid w:val="7252309F"/>
    <w:rsid w:val="73790D4C"/>
    <w:rsid w:val="73A6496A"/>
    <w:rsid w:val="73FF8BD5"/>
    <w:rsid w:val="749761E3"/>
    <w:rsid w:val="75D6FBF6"/>
    <w:rsid w:val="75FCC224"/>
    <w:rsid w:val="762304F4"/>
    <w:rsid w:val="765E19F1"/>
    <w:rsid w:val="76F6ED38"/>
    <w:rsid w:val="77075F05"/>
    <w:rsid w:val="774424D0"/>
    <w:rsid w:val="77D45F4A"/>
    <w:rsid w:val="77EEB47A"/>
    <w:rsid w:val="77F8DFF5"/>
    <w:rsid w:val="78F95905"/>
    <w:rsid w:val="7977A563"/>
    <w:rsid w:val="797BF90B"/>
    <w:rsid w:val="7B5709BA"/>
    <w:rsid w:val="7B7D8CD8"/>
    <w:rsid w:val="7BBD6C30"/>
    <w:rsid w:val="7BEDDB62"/>
    <w:rsid w:val="7BEFBAA0"/>
    <w:rsid w:val="7BFD1995"/>
    <w:rsid w:val="7BFE0498"/>
    <w:rsid w:val="7BFF021A"/>
    <w:rsid w:val="7C0D37D8"/>
    <w:rsid w:val="7CE6A2D2"/>
    <w:rsid w:val="7CF7DAD0"/>
    <w:rsid w:val="7D7E6A6F"/>
    <w:rsid w:val="7D8FA888"/>
    <w:rsid w:val="7D9D6DDE"/>
    <w:rsid w:val="7DDF5D90"/>
    <w:rsid w:val="7DF349C1"/>
    <w:rsid w:val="7DFC7386"/>
    <w:rsid w:val="7DFE5514"/>
    <w:rsid w:val="7DFE6C2A"/>
    <w:rsid w:val="7DFF5525"/>
    <w:rsid w:val="7DFFB1F3"/>
    <w:rsid w:val="7E4F1DD1"/>
    <w:rsid w:val="7E6CDD36"/>
    <w:rsid w:val="7EE6A16B"/>
    <w:rsid w:val="7EEB99A3"/>
    <w:rsid w:val="7EFB1DC2"/>
    <w:rsid w:val="7EFF9E9C"/>
    <w:rsid w:val="7F1E5E4D"/>
    <w:rsid w:val="7F7D8E8D"/>
    <w:rsid w:val="7F9B2CD3"/>
    <w:rsid w:val="7FBB3603"/>
    <w:rsid w:val="7FBEE3DA"/>
    <w:rsid w:val="7FCF20DE"/>
    <w:rsid w:val="7FDFAA57"/>
    <w:rsid w:val="7FE79F03"/>
    <w:rsid w:val="7FEF5F98"/>
    <w:rsid w:val="7FF5D7E4"/>
    <w:rsid w:val="7FFCD545"/>
    <w:rsid w:val="93F973DB"/>
    <w:rsid w:val="97CBFD6A"/>
    <w:rsid w:val="995BCAC8"/>
    <w:rsid w:val="99ED3515"/>
    <w:rsid w:val="9F7FF3EC"/>
    <w:rsid w:val="A6FDABBD"/>
    <w:rsid w:val="AE7FB432"/>
    <w:rsid w:val="AEFAFB7D"/>
    <w:rsid w:val="AFFB05D5"/>
    <w:rsid w:val="B3FF35E2"/>
    <w:rsid w:val="B77F0018"/>
    <w:rsid w:val="B7F7D4E7"/>
    <w:rsid w:val="BBF92BFB"/>
    <w:rsid w:val="BCB7205A"/>
    <w:rsid w:val="BD357357"/>
    <w:rsid w:val="BDAF3D41"/>
    <w:rsid w:val="BDDF1774"/>
    <w:rsid w:val="BDDFC59E"/>
    <w:rsid w:val="BEFB262E"/>
    <w:rsid w:val="BEFFBF2A"/>
    <w:rsid w:val="BF5EEB75"/>
    <w:rsid w:val="BF6DCFD8"/>
    <w:rsid w:val="BFB6FA14"/>
    <w:rsid w:val="BFBA8B7C"/>
    <w:rsid w:val="C4F29B6E"/>
    <w:rsid w:val="C5A9F77C"/>
    <w:rsid w:val="C7DF4959"/>
    <w:rsid w:val="C94FF08B"/>
    <w:rsid w:val="CAA69414"/>
    <w:rsid w:val="CDA32417"/>
    <w:rsid w:val="CFDF5A18"/>
    <w:rsid w:val="CFFD98B4"/>
    <w:rsid w:val="CFFFB330"/>
    <w:rsid w:val="D0EF53A7"/>
    <w:rsid w:val="D1A3EB53"/>
    <w:rsid w:val="D7CFE3F6"/>
    <w:rsid w:val="DB7F5B7F"/>
    <w:rsid w:val="DBDFFDB4"/>
    <w:rsid w:val="DC77311A"/>
    <w:rsid w:val="DC8FDD04"/>
    <w:rsid w:val="DDA2CE63"/>
    <w:rsid w:val="DE7F52F4"/>
    <w:rsid w:val="DEBF1F1E"/>
    <w:rsid w:val="DEFF4A69"/>
    <w:rsid w:val="DF53FEAE"/>
    <w:rsid w:val="DF6941DD"/>
    <w:rsid w:val="DF7F979A"/>
    <w:rsid w:val="DFAFBFDE"/>
    <w:rsid w:val="DFDFCD54"/>
    <w:rsid w:val="DFFA853B"/>
    <w:rsid w:val="DFFF5229"/>
    <w:rsid w:val="DFFFC906"/>
    <w:rsid w:val="E3BF7DA5"/>
    <w:rsid w:val="E766A9ED"/>
    <w:rsid w:val="E77F4693"/>
    <w:rsid w:val="E7D70D82"/>
    <w:rsid w:val="E9DC38A4"/>
    <w:rsid w:val="EADA8713"/>
    <w:rsid w:val="EBA7541A"/>
    <w:rsid w:val="ED7D8716"/>
    <w:rsid w:val="EF771E4A"/>
    <w:rsid w:val="EF7FCD69"/>
    <w:rsid w:val="EFC25340"/>
    <w:rsid w:val="EFDFE4F4"/>
    <w:rsid w:val="EFF7071A"/>
    <w:rsid w:val="EFFB91D1"/>
    <w:rsid w:val="F3BE6159"/>
    <w:rsid w:val="F3F55E17"/>
    <w:rsid w:val="F4F69ACE"/>
    <w:rsid w:val="F5FBA6E5"/>
    <w:rsid w:val="F5FF90CC"/>
    <w:rsid w:val="F63FA4F8"/>
    <w:rsid w:val="F6F4ECFC"/>
    <w:rsid w:val="F7F9FE1A"/>
    <w:rsid w:val="F7FB5815"/>
    <w:rsid w:val="F93F6DB7"/>
    <w:rsid w:val="FB5951A9"/>
    <w:rsid w:val="FBBFBCBD"/>
    <w:rsid w:val="FBD9EB91"/>
    <w:rsid w:val="FBE7C988"/>
    <w:rsid w:val="FBEEFD3A"/>
    <w:rsid w:val="FBFBB965"/>
    <w:rsid w:val="FCF70825"/>
    <w:rsid w:val="FCFF852B"/>
    <w:rsid w:val="FD8F06B4"/>
    <w:rsid w:val="FDBF01D0"/>
    <w:rsid w:val="FE3F559B"/>
    <w:rsid w:val="FE7F36FE"/>
    <w:rsid w:val="FEBE3DA5"/>
    <w:rsid w:val="FEF6D6E5"/>
    <w:rsid w:val="FF4B8A4F"/>
    <w:rsid w:val="FF5D4D2A"/>
    <w:rsid w:val="FF5F9FA2"/>
    <w:rsid w:val="FF6EBCA0"/>
    <w:rsid w:val="FF9FCDE8"/>
    <w:rsid w:val="FFBA0994"/>
    <w:rsid w:val="FFBBF8EE"/>
    <w:rsid w:val="FFBCA16E"/>
    <w:rsid w:val="FFC2C158"/>
    <w:rsid w:val="FFC7F85E"/>
    <w:rsid w:val="FFD30213"/>
    <w:rsid w:val="FFD76DE8"/>
    <w:rsid w:val="FFDD36CE"/>
    <w:rsid w:val="FFDEA6D5"/>
    <w:rsid w:val="FFDF6288"/>
    <w:rsid w:val="FFFE6C4D"/>
    <w:rsid w:val="FFFEFFCD"/>
    <w:rsid w:val="FFFF19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2">
    <w:name w:val="heading 2"/>
    <w:next w:val="1"/>
    <w:qFormat/>
    <w:uiPriority w:val="0"/>
    <w:pPr>
      <w:keepNext/>
      <w:keepLines/>
      <w:widowControl w:val="0"/>
      <w:spacing w:before="260" w:after="260" w:line="416" w:lineRule="auto"/>
      <w:jc w:val="both"/>
      <w:outlineLvl w:val="1"/>
    </w:pPr>
    <w:rPr>
      <w:rFonts w:ascii="Cambria" w:hAnsi="Cambria" w:eastAsia="宋体" w:cs="Times New Roman"/>
      <w:b/>
      <w:bCs/>
      <w:kern w:val="2"/>
      <w:sz w:val="21"/>
      <w:szCs w:val="32"/>
      <w:lang w:val="en-US" w:eastAsia="zh-CN" w:bidi="ar-SA"/>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3">
    <w:name w:val="Default Paragraph Font"/>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caption"/>
    <w:basedOn w:val="1"/>
    <w:next w:val="1"/>
    <w:qFormat/>
    <w:uiPriority w:val="0"/>
    <w:pPr>
      <w:widowControl w:val="0"/>
      <w:suppressLineNumbers/>
      <w:suppressAutoHyphens/>
      <w:spacing w:before="120" w:after="120"/>
    </w:pPr>
    <w:rPr>
      <w:i/>
      <w:iCs/>
      <w:sz w:val="24"/>
      <w:szCs w:val="24"/>
    </w:rPr>
  </w:style>
  <w:style w:type="paragraph" w:styleId="5">
    <w:name w:val="Body Text"/>
    <w:basedOn w:val="1"/>
    <w:qFormat/>
    <w:uiPriority w:val="0"/>
    <w:pPr>
      <w:spacing w:before="0" w:after="140" w:line="276" w:lineRule="auto"/>
    </w:pPr>
  </w:style>
  <w:style w:type="paragraph" w:styleId="6">
    <w:name w:val="Body Text Indent"/>
    <w:basedOn w:val="1"/>
    <w:qFormat/>
    <w:uiPriority w:val="0"/>
    <w:pPr>
      <w:spacing w:after="120"/>
      <w:ind w:left="42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List"/>
    <w:basedOn w:val="5"/>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6"/>
    <w:next w:val="1"/>
    <w:qFormat/>
    <w:uiPriority w:val="0"/>
    <w:pPr>
      <w:widowControl w:val="0"/>
      <w:spacing w:after="120"/>
      <w:ind w:left="420" w:leftChars="200" w:firstLine="420" w:firstLineChars="200"/>
      <w:jc w:val="both"/>
    </w:pPr>
    <w:rPr>
      <w:rFonts w:ascii="Calibri" w:hAnsi="Calibri" w:eastAsia="宋体" w:cs="Calibri"/>
      <w:kern w:val="2"/>
      <w:sz w:val="21"/>
      <w:szCs w:val="21"/>
      <w:lang w:val="en-US" w:eastAsia="zh-CN" w:bidi="ar-SA"/>
    </w:rPr>
  </w:style>
  <w:style w:type="character" w:styleId="14">
    <w:name w:val="Strong"/>
    <w:basedOn w:val="13"/>
    <w:qFormat/>
    <w:uiPriority w:val="0"/>
    <w:rPr>
      <w:b/>
    </w:rPr>
  </w:style>
  <w:style w:type="character" w:customStyle="1" w:styleId="15">
    <w:name w:val="默认段落字体1"/>
    <w:qFormat/>
    <w:uiPriority w:val="0"/>
  </w:style>
  <w:style w:type="paragraph" w:customStyle="1" w:styleId="16">
    <w:name w:val="Heading"/>
    <w:basedOn w:val="1"/>
    <w:next w:val="5"/>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7">
    <w:name w:val="Index"/>
    <w:basedOn w:val="1"/>
    <w:qFormat/>
    <w:uiPriority w:val="0"/>
    <w:pPr>
      <w:widowControl w:val="0"/>
      <w:suppressLineNumbers/>
      <w:suppressAutoHyphens/>
    </w:pPr>
  </w:style>
  <w:style w:type="paragraph" w:customStyle="1" w:styleId="18">
    <w:name w:val="TOC1"/>
    <w:next w:val="1"/>
    <w:qFormat/>
    <w:locked/>
    <w:uiPriority w:val="0"/>
    <w:pPr>
      <w:widowControl w:val="0"/>
      <w:ind w:firstLine="200" w:firstLineChars="200"/>
      <w:jc w:val="both"/>
      <w:textAlignment w:val="baseline"/>
    </w:pPr>
    <w:rPr>
      <w:rFonts w:ascii="仿宋_GB2312" w:hAnsi="宋体" w:eastAsia="宋体" w:cs="Times New Roman"/>
      <w:kern w:val="2"/>
      <w:sz w:val="21"/>
      <w:szCs w:val="22"/>
      <w:lang w:val="en-US" w:eastAsia="zh-CN" w:bidi="ar-SA"/>
    </w:rPr>
  </w:style>
  <w:style w:type="table" w:customStyle="1" w:styleId="1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5121</Words>
  <Characters>5262</Characters>
  <Lines>0</Lines>
  <Paragraphs>0</Paragraphs>
  <TotalTime>6</TotalTime>
  <ScaleCrop>false</ScaleCrop>
  <LinksUpToDate>false</LinksUpToDate>
  <CharactersWithSpaces>5287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2018-12-11T17:47:00Z</dcterms:created>
  <dc:creator>lenovo</dc:creator>
  <cp:lastModifiedBy>飞龙在天</cp:lastModifiedBy>
  <cp:lastPrinted>2026-05-11T03:13:00Z</cp:lastPrinted>
  <dcterms:modified xsi:type="dcterms:W3CDTF">2026-05-15T01:19:31Z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D2E98602681647059DCFD777DB4E2CF6_13</vt:lpwstr>
  </property>
  <property fmtid="{D5CDD505-2E9C-101B-9397-08002B2CF9AE}" pid="4" name="KSOTemplateDocerSaveRecord">
    <vt:lpwstr>eyJoZGlkIjoiMTg5OTg5NGMzYWZiMmUzYWQ0NGVjMmQ3OTFiYzlkYzUiLCJ1c2VySWQiOiI4NTQxMjgwNzQifQ==</vt:lpwstr>
  </property>
</Properties>
</file>