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adjustRightInd w:val="0"/>
        <w:snapToGrid w:val="0"/>
        <w:spacing w:before="0" w:after="0" w:line="336" w:lineRule="auto"/>
        <w:jc w:val="both"/>
        <w:rPr>
          <w:rFonts w:ascii="黑体" w:hAnsi="Calibri" w:eastAsia="黑体" w:cs="Times New Roman"/>
          <w:kern w:val="2"/>
          <w:sz w:val="32"/>
          <w:szCs w:val="32"/>
        </w:rPr>
      </w:pPr>
      <w:bookmarkStart w:id="0" w:name="_GoBack"/>
      <w:bookmarkEnd w:id="0"/>
    </w:p>
    <w:p>
      <w:pPr>
        <w:widowControl w:val="0"/>
        <w:adjustRightInd w:val="0"/>
        <w:snapToGrid w:val="0"/>
        <w:spacing w:before="0" w:after="0" w:line="336" w:lineRule="auto"/>
        <w:jc w:val="both"/>
        <w:rPr>
          <w:rFonts w:ascii="黑体" w:hAnsi="Calibri" w:eastAsia="黑体" w:cs="Times New Roman"/>
          <w:kern w:val="2"/>
          <w:sz w:val="32"/>
          <w:szCs w:val="32"/>
        </w:rPr>
      </w:pPr>
    </w:p>
    <w:p>
      <w:pPr>
        <w:widowControl w:val="0"/>
        <w:adjustRightInd w:val="0"/>
        <w:snapToGrid w:val="0"/>
        <w:spacing w:before="0" w:after="0" w:line="336" w:lineRule="auto"/>
        <w:jc w:val="both"/>
        <w:rPr>
          <w:rFonts w:ascii="黑体" w:hAnsi="Calibri" w:eastAsia="黑体" w:cs="Times New Roman"/>
          <w:kern w:val="2"/>
          <w:sz w:val="32"/>
          <w:szCs w:val="32"/>
        </w:rPr>
      </w:pPr>
    </w:p>
    <w:p>
      <w:pPr>
        <w:widowControl w:val="0"/>
        <w:adjustRightInd w:val="0"/>
        <w:snapToGrid w:val="0"/>
        <w:spacing w:before="0" w:after="0" w:line="240" w:lineRule="auto"/>
        <w:ind w:right="28"/>
        <w:jc w:val="center"/>
        <w:rPr>
          <w:rFonts w:ascii="方正小标宋简体" w:hAnsi="宋体" w:eastAsia="方正小标宋简体" w:cs="Times New Roman"/>
          <w:color w:val="FF0000"/>
          <w:w w:val="94"/>
          <w:kern w:val="2"/>
          <w:sz w:val="52"/>
          <w:szCs w:val="52"/>
        </w:rPr>
      </w:pPr>
      <w:r>
        <w:rPr>
          <w:rFonts w:hint="eastAsia" w:ascii="方正小标宋简体" w:hAnsi="宋体" w:eastAsia="方正小标宋简体" w:cs="Times New Roman"/>
          <w:color w:val="FF0000"/>
          <w:spacing w:val="12"/>
          <w:kern w:val="2"/>
          <w:sz w:val="52"/>
          <w:szCs w:val="52"/>
        </w:rPr>
        <w:t>上海市松江区市场监督管理局文</w:t>
      </w:r>
      <w:r>
        <w:rPr>
          <w:rFonts w:hint="eastAsia" w:ascii="方正小标宋简体" w:hAnsi="宋体" w:eastAsia="方正小标宋简体" w:cs="Times New Roman"/>
          <w:color w:val="FF0000"/>
          <w:kern w:val="2"/>
          <w:sz w:val="52"/>
          <w:szCs w:val="52"/>
        </w:rPr>
        <w:t>件</w:t>
      </w:r>
    </w:p>
    <w:p>
      <w:pPr>
        <w:widowControl w:val="0"/>
        <w:tabs>
          <w:tab w:val="left" w:pos="790"/>
        </w:tabs>
        <w:adjustRightInd w:val="0"/>
        <w:snapToGrid w:val="0"/>
        <w:spacing w:before="0" w:after="0" w:line="276" w:lineRule="auto"/>
        <w:jc w:val="center"/>
        <w:rPr>
          <w:rFonts w:ascii="黑体" w:hAnsi="Calibri" w:eastAsia="黑体" w:cs="Times New Roman"/>
          <w:kern w:val="2"/>
          <w:sz w:val="32"/>
          <w:szCs w:val="32"/>
        </w:rPr>
      </w:pPr>
    </w:p>
    <w:p>
      <w:pPr>
        <w:widowControl w:val="0"/>
        <w:tabs>
          <w:tab w:val="left" w:pos="790"/>
        </w:tabs>
        <w:adjustRightInd w:val="0"/>
        <w:snapToGrid w:val="0"/>
        <w:spacing w:before="0" w:after="0" w:line="276" w:lineRule="auto"/>
        <w:jc w:val="center"/>
        <w:rPr>
          <w:rFonts w:ascii="黑体" w:hAnsi="Calibri" w:eastAsia="黑体" w:cs="Times New Roman"/>
          <w:kern w:val="2"/>
          <w:sz w:val="32"/>
          <w:szCs w:val="32"/>
        </w:rPr>
      </w:pPr>
    </w:p>
    <w:p>
      <w:pPr>
        <w:widowControl w:val="0"/>
        <w:tabs>
          <w:tab w:val="left" w:pos="790"/>
        </w:tabs>
        <w:adjustRightInd w:val="0"/>
        <w:snapToGrid w:val="0"/>
        <w:spacing w:before="0" w:after="0" w:line="336" w:lineRule="auto"/>
        <w:jc w:val="center"/>
        <w:rPr>
          <w:rFonts w:ascii="Calibri" w:hAnsi="Calibri" w:eastAsia="宋体" w:cs="Times New Roman"/>
          <w:kern w:val="2"/>
          <w:sz w:val="32"/>
          <w:szCs w:val="32"/>
        </w:rPr>
      </w:pPr>
      <w:r>
        <w:rPr>
          <w:rFonts w:hint="eastAsia" w:ascii="仿宋_GB2312" w:hAnsi="Calibri" w:eastAsia="仿宋_GB2312" w:cs="Times New Roman"/>
          <w:kern w:val="2"/>
          <w:sz w:val="32"/>
          <w:szCs w:val="32"/>
        </w:rPr>
        <w:t>松市监</w:t>
      </w:r>
      <w:r>
        <w:rPr>
          <w:rFonts w:hint="eastAsia" w:ascii="仿宋_GB2312" w:hAnsi="Calibri" w:eastAsia="仿宋_GB2312" w:cs="Times New Roman"/>
          <w:kern w:val="2"/>
          <w:sz w:val="32"/>
          <w:szCs w:val="32"/>
          <w:lang w:eastAsia="zh-CN"/>
        </w:rPr>
        <w:t>规</w:t>
      </w:r>
      <w:r>
        <w:rPr>
          <w:rFonts w:hint="eastAsia" w:ascii="仿宋_GB2312" w:hAnsi="Calibri" w:eastAsia="仿宋_GB2312" w:cs="Times New Roman"/>
          <w:kern w:val="2"/>
          <w:sz w:val="32"/>
          <w:szCs w:val="32"/>
        </w:rPr>
        <w:t>〔202</w:t>
      </w:r>
      <w:r>
        <w:rPr>
          <w:rFonts w:hint="eastAsia" w:ascii="仿宋_GB2312" w:hAnsi="Calibri" w:eastAsia="仿宋_GB2312" w:cs="Times New Roman"/>
          <w:kern w:val="2"/>
          <w:sz w:val="32"/>
          <w:szCs w:val="32"/>
          <w:lang w:val="en-US" w:eastAsia="zh-CN"/>
        </w:rPr>
        <w:t>1</w:t>
      </w:r>
      <w:r>
        <w:rPr>
          <w:rFonts w:hint="eastAsia" w:ascii="仿宋_GB2312" w:hAnsi="Calibri" w:eastAsia="仿宋_GB2312" w:cs="Times New Roman"/>
          <w:kern w:val="2"/>
          <w:sz w:val="32"/>
          <w:szCs w:val="32"/>
        </w:rPr>
        <w:t>〕</w:t>
      </w:r>
      <w:r>
        <w:rPr>
          <w:rFonts w:hint="eastAsia" w:ascii="仿宋_GB2312" w:hAnsi="Calibri" w:eastAsia="仿宋_GB2312" w:cs="Times New Roman"/>
          <w:kern w:val="2"/>
          <w:sz w:val="32"/>
          <w:szCs w:val="32"/>
          <w:lang w:val="en-US" w:eastAsia="zh-CN"/>
        </w:rPr>
        <w:t>1</w:t>
      </w:r>
      <w:r>
        <w:rPr>
          <w:rFonts w:hint="eastAsia" w:ascii="仿宋_GB2312" w:hAnsi="Calibri" w:eastAsia="仿宋_GB2312" w:cs="Times New Roman"/>
          <w:kern w:val="2"/>
          <w:sz w:val="32"/>
          <w:szCs w:val="32"/>
        </w:rPr>
        <w:t>号</w:t>
      </w:r>
    </w:p>
    <w:p>
      <w:pPr>
        <w:widowControl w:val="0"/>
        <w:tabs>
          <w:tab w:val="left" w:pos="790"/>
        </w:tabs>
        <w:adjustRightInd w:val="0"/>
        <w:snapToGrid w:val="0"/>
        <w:spacing w:before="0" w:after="0" w:line="336" w:lineRule="auto"/>
        <w:jc w:val="center"/>
        <w:rPr>
          <w:rFonts w:ascii="Calibri" w:hAnsi="Calibri" w:eastAsia="宋体" w:cs="Times New Roman"/>
          <w:kern w:val="2"/>
          <w:sz w:val="32"/>
          <w:szCs w:val="32"/>
        </w:rPr>
      </w:pPr>
      <w:r>
        <w:rPr>
          <w:rFonts w:ascii="Calibri" w:hAnsi="Calibri" w:eastAsia="宋体" w:cs="Times New Roman"/>
          <w:kern w:val="2"/>
          <w:sz w:val="32"/>
          <w:szCs w:val="32"/>
        </w:rPr>
        <mc:AlternateContent>
          <mc:Choice Requires="wps">
            <w:drawing>
              <wp:anchor distT="0" distB="0" distL="114300" distR="114300" simplePos="0" relativeHeight="251658240" behindDoc="0" locked="0" layoutInCell="1" allowOverlap="1">
                <wp:simplePos x="0" y="0"/>
                <wp:positionH relativeFrom="column">
                  <wp:posOffset>635</wp:posOffset>
                </wp:positionH>
                <wp:positionV relativeFrom="paragraph">
                  <wp:posOffset>17145</wp:posOffset>
                </wp:positionV>
                <wp:extent cx="5615940" cy="0"/>
                <wp:effectExtent l="0" t="9525" r="3810" b="9525"/>
                <wp:wrapNone/>
                <wp:docPr id="1" name="直线 2"/>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a:effectLst/>
                      </wps:spPr>
                      <wps:bodyPr upright="true"/>
                    </wps:wsp>
                  </a:graphicData>
                </a:graphic>
              </wp:anchor>
            </w:drawing>
          </mc:Choice>
          <mc:Fallback>
            <w:pict>
              <v:line id="直线 2" o:spid="_x0000_s1026" o:spt="20" style="position:absolute;left:0pt;margin-left:0.05pt;margin-top:1.35pt;height:0pt;width:442.2pt;z-index:251658240;mso-width-relative:page;mso-height-relative:page;" filled="f" stroked="t" coordsize="21600,21600" o:gfxdata="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BYAAABkcnMvUEsBAhQAFAAAAAgAh07iQJiJjAPT&#10;AAAABAEAAA8AAAAAAAAAAQAgAAAAOAAAAGRycy9kb3ducmV2LnhtbFBLAQIUABQAAAAIAIdO4kDo&#10;syeL1gEAAJ8DAAAOAAAAAAAAAAEAIAAAADgBAABkcnMvZTJvRG9jLnhtbFBLBQYAAAAABgAGAFkB&#10;AACABQAAAAA=&#10;">
                <v:fill on="f" focussize="0,0"/>
                <v:stroke weight="1.5pt" color="#FF0000" joinstyle="round"/>
                <v:imagedata o:title=""/>
                <o:lock v:ext="edit" aspectratio="f"/>
              </v:line>
            </w:pict>
          </mc:Fallback>
        </mc:AlternateContent>
      </w:r>
    </w:p>
    <w:p>
      <w:pPr>
        <w:widowControl w:val="0"/>
        <w:adjustRightInd w:val="0"/>
        <w:snapToGrid w:val="0"/>
        <w:spacing w:before="0" w:after="0" w:line="240" w:lineRule="auto"/>
        <w:jc w:val="center"/>
        <w:rPr>
          <w:rFonts w:ascii="方正小标宋简体" w:hAnsi="宋体" w:eastAsia="方正小标宋简体"/>
          <w:kern w:val="2"/>
          <w:sz w:val="44"/>
          <w:szCs w:val="44"/>
        </w:rPr>
      </w:pPr>
    </w:p>
    <w:p>
      <w:pPr>
        <w:keepNext w:val="0"/>
        <w:keepLines w:val="0"/>
        <w:pageBreakBefore w:val="0"/>
        <w:widowControl/>
        <w:kinsoku/>
        <w:wordWrap/>
        <w:overflowPunct/>
        <w:topLinePunct w:val="0"/>
        <w:autoSpaceDE/>
        <w:autoSpaceDN/>
        <w:bidi w:val="0"/>
        <w:adjustRightInd/>
        <w:snapToGrid w:val="0"/>
        <w:spacing w:before="0" w:after="0" w:line="600" w:lineRule="exact"/>
        <w:jc w:val="center"/>
        <w:textAlignment w:val="auto"/>
        <w:outlineLvl w:val="0"/>
        <w:rPr>
          <w:rFonts w:hint="eastAsia" w:ascii="方正小标宋简体" w:hAnsi="宋体" w:eastAsia="方正小标宋简体"/>
          <w:sz w:val="44"/>
          <w:szCs w:val="44"/>
        </w:rPr>
      </w:pPr>
      <w:r>
        <w:rPr>
          <w:rFonts w:hint="eastAsia" w:ascii="方正小标宋简体" w:hAnsi="宋体" w:eastAsia="方正小标宋简体"/>
          <w:sz w:val="44"/>
          <w:szCs w:val="44"/>
        </w:rPr>
        <w:t>关于印发《松江区助推高质量发展专项资金</w:t>
      </w:r>
    </w:p>
    <w:p>
      <w:pPr>
        <w:keepNext w:val="0"/>
        <w:keepLines w:val="0"/>
        <w:pageBreakBefore w:val="0"/>
        <w:widowControl/>
        <w:kinsoku/>
        <w:wordWrap/>
        <w:overflowPunct/>
        <w:topLinePunct w:val="0"/>
        <w:autoSpaceDE/>
        <w:autoSpaceDN/>
        <w:bidi w:val="0"/>
        <w:adjustRightInd/>
        <w:snapToGrid w:val="0"/>
        <w:spacing w:before="0" w:after="0" w:line="600" w:lineRule="exact"/>
        <w:jc w:val="center"/>
        <w:textAlignment w:val="auto"/>
        <w:outlineLvl w:val="0"/>
        <w:rPr>
          <w:rFonts w:hint="eastAsia" w:ascii="方正小标宋简体" w:hAnsi="宋体" w:eastAsia="方正小标宋简体"/>
          <w:sz w:val="44"/>
          <w:szCs w:val="44"/>
        </w:rPr>
      </w:pPr>
      <w:r>
        <w:rPr>
          <w:rFonts w:hint="eastAsia" w:ascii="方正小标宋简体" w:hAnsi="宋体" w:eastAsia="方正小标宋简体"/>
          <w:sz w:val="44"/>
          <w:szCs w:val="44"/>
        </w:rPr>
        <w:t>管理办法》的通知</w:t>
      </w:r>
    </w:p>
    <w:p>
      <w:pPr>
        <w:keepNext w:val="0"/>
        <w:keepLines w:val="0"/>
        <w:pageBreakBefore w:val="0"/>
        <w:widowControl/>
        <w:kinsoku/>
        <w:wordWrap/>
        <w:overflowPunct/>
        <w:topLinePunct w:val="0"/>
        <w:autoSpaceDE/>
        <w:autoSpaceDN/>
        <w:bidi w:val="0"/>
        <w:adjustRightInd/>
        <w:snapToGrid w:val="0"/>
        <w:spacing w:before="0" w:after="0" w:line="560" w:lineRule="exact"/>
        <w:jc w:val="center"/>
        <w:textAlignment w:val="auto"/>
        <w:outlineLvl w:val="0"/>
        <w:rPr>
          <w:rFonts w:hint="eastAsia" w:ascii="方正小标宋简体" w:hAnsi="宋体" w:eastAsia="方正小标宋简体"/>
          <w:sz w:val="44"/>
          <w:szCs w:val="44"/>
        </w:rPr>
      </w:pPr>
    </w:p>
    <w:p>
      <w:pPr>
        <w:keepNext w:val="0"/>
        <w:keepLines w:val="0"/>
        <w:pageBreakBefore w:val="0"/>
        <w:widowControl/>
        <w:kinsoku/>
        <w:wordWrap/>
        <w:overflowPunct/>
        <w:topLinePunct w:val="0"/>
        <w:autoSpaceDE/>
        <w:autoSpaceDN/>
        <w:bidi w:val="0"/>
        <w:adjustRightInd/>
        <w:snapToGrid w:val="0"/>
        <w:spacing w:before="0" w:after="0" w:line="560" w:lineRule="exact"/>
        <w:textAlignment w:val="auto"/>
        <w:rPr>
          <w:rFonts w:ascii="仿宋_GB2312" w:eastAsia="仿宋_GB2312"/>
          <w:sz w:val="32"/>
          <w:szCs w:val="32"/>
        </w:rPr>
      </w:pPr>
      <w:r>
        <w:rPr>
          <w:rFonts w:hint="eastAsia" w:ascii="仿宋_GB2312" w:eastAsia="仿宋_GB2312"/>
          <w:sz w:val="32"/>
          <w:szCs w:val="32"/>
          <w:lang w:eastAsia="zh-CN"/>
        </w:rPr>
        <w:t>各有关单位</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snapToGrid w:val="0"/>
        <w:spacing w:before="0" w:after="0" w:line="560" w:lineRule="exact"/>
        <w:ind w:firstLine="640" w:firstLineChars="200"/>
        <w:textAlignment w:val="auto"/>
        <w:rPr>
          <w:rFonts w:ascii="仿宋_GB2312" w:eastAsia="仿宋_GB2312"/>
          <w:sz w:val="32"/>
          <w:szCs w:val="32"/>
        </w:rPr>
      </w:pPr>
      <w:r>
        <w:rPr>
          <w:rFonts w:hint="eastAsia" w:ascii="仿宋_GB2312" w:eastAsia="仿宋_GB2312"/>
          <w:sz w:val="32"/>
          <w:szCs w:val="32"/>
          <w:lang w:eastAsia="zh-CN"/>
        </w:rPr>
        <w:t>经六届区委常委会第</w:t>
      </w:r>
      <w:r>
        <w:rPr>
          <w:rFonts w:hint="eastAsia" w:ascii="仿宋_GB2312" w:eastAsia="仿宋_GB2312"/>
          <w:sz w:val="32"/>
          <w:szCs w:val="32"/>
          <w:lang w:val="en-US" w:eastAsia="zh-CN"/>
        </w:rPr>
        <w:t>4次会议审议通过，现将</w:t>
      </w:r>
      <w:r>
        <w:rPr>
          <w:rFonts w:hint="eastAsia" w:ascii="仿宋_GB2312" w:eastAsia="仿宋_GB2312"/>
          <w:sz w:val="32"/>
          <w:szCs w:val="32"/>
        </w:rPr>
        <w:t>《松江区助推高质量发展专项资金管理办法》</w:t>
      </w:r>
      <w:r>
        <w:rPr>
          <w:rFonts w:hint="eastAsia" w:ascii="仿宋_GB2312" w:eastAsia="仿宋_GB2312"/>
          <w:sz w:val="32"/>
          <w:szCs w:val="32"/>
          <w:lang w:eastAsia="zh-CN"/>
        </w:rPr>
        <w:t>印发给你们，请遵照执行。</w:t>
      </w:r>
    </w:p>
    <w:p>
      <w:pPr>
        <w:keepNext w:val="0"/>
        <w:keepLines w:val="0"/>
        <w:pageBreakBefore w:val="0"/>
        <w:widowControl/>
        <w:kinsoku/>
        <w:wordWrap/>
        <w:overflowPunct/>
        <w:topLinePunct w:val="0"/>
        <w:autoSpaceDE/>
        <w:autoSpaceDN/>
        <w:bidi w:val="0"/>
        <w:adjustRightInd/>
        <w:snapToGrid w:val="0"/>
        <w:spacing w:before="0" w:after="0" w:line="440" w:lineRule="exact"/>
        <w:textAlignment w:val="auto"/>
        <w:rPr>
          <w:rFonts w:ascii="仿宋_GB2312" w:eastAsia="仿宋_GB2312"/>
          <w:sz w:val="32"/>
          <w:szCs w:val="32"/>
        </w:rPr>
      </w:pPr>
    </w:p>
    <w:p>
      <w:pPr>
        <w:keepNext w:val="0"/>
        <w:keepLines w:val="0"/>
        <w:pageBreakBefore w:val="0"/>
        <w:widowControl/>
        <w:kinsoku/>
        <w:wordWrap/>
        <w:overflowPunct/>
        <w:topLinePunct w:val="0"/>
        <w:autoSpaceDE/>
        <w:autoSpaceDN/>
        <w:bidi w:val="0"/>
        <w:adjustRightInd/>
        <w:snapToGrid w:val="0"/>
        <w:spacing w:before="0" w:after="0" w:line="440" w:lineRule="exact"/>
        <w:textAlignment w:val="auto"/>
        <w:rPr>
          <w:rFonts w:ascii="仿宋_GB2312" w:eastAsia="仿宋_GB2312"/>
          <w:sz w:val="32"/>
          <w:szCs w:val="32"/>
        </w:rPr>
      </w:pPr>
    </w:p>
    <w:p>
      <w:pPr>
        <w:keepNext w:val="0"/>
        <w:keepLines w:val="0"/>
        <w:pageBreakBefore w:val="0"/>
        <w:widowControl/>
        <w:kinsoku/>
        <w:wordWrap/>
        <w:overflowPunct/>
        <w:topLinePunct w:val="0"/>
        <w:autoSpaceDE/>
        <w:autoSpaceDN/>
        <w:bidi w:val="0"/>
        <w:adjustRightInd/>
        <w:snapToGrid w:val="0"/>
        <w:spacing w:before="0" w:after="0" w:line="560" w:lineRule="exact"/>
        <w:ind w:firstLine="4000" w:firstLineChars="1250"/>
        <w:textAlignment w:val="auto"/>
        <w:rPr>
          <w:rFonts w:ascii="仿宋_GB2312" w:eastAsia="仿宋_GB2312"/>
          <w:sz w:val="32"/>
          <w:szCs w:val="32"/>
        </w:rPr>
      </w:pPr>
      <w:r>
        <w:rPr>
          <w:rFonts w:hint="eastAsia" w:ascii="仿宋_GB2312" w:eastAsia="仿宋_GB2312"/>
          <w:sz w:val="32"/>
          <w:szCs w:val="32"/>
        </w:rPr>
        <w:t>上海市松江区市场监督管理局</w:t>
      </w:r>
    </w:p>
    <w:p>
      <w:pPr>
        <w:keepNext w:val="0"/>
        <w:keepLines w:val="0"/>
        <w:pageBreakBefore w:val="0"/>
        <w:widowControl/>
        <w:kinsoku/>
        <w:wordWrap/>
        <w:overflowPunct/>
        <w:topLinePunct w:val="0"/>
        <w:autoSpaceDE/>
        <w:autoSpaceDN/>
        <w:bidi w:val="0"/>
        <w:adjustRightInd/>
        <w:snapToGrid w:val="0"/>
        <w:spacing w:before="0" w:after="0" w:line="560" w:lineRule="exact"/>
        <w:ind w:firstLine="4848" w:firstLineChars="1515"/>
        <w:textAlignment w:val="auto"/>
        <w:rPr>
          <w:rFonts w:ascii="仿宋_GB2312" w:eastAsia="仿宋_GB2312"/>
          <w:sz w:val="32"/>
          <w:szCs w:val="32"/>
        </w:rPr>
        <w:sectPr>
          <w:headerReference r:id="rId3" w:type="default"/>
          <w:footerReference r:id="rId4" w:type="default"/>
          <w:footerReference r:id="rId5" w:type="even"/>
          <w:pgSz w:w="11906" w:h="16838"/>
          <w:pgMar w:top="2098" w:right="1474" w:bottom="1984" w:left="1587" w:header="851" w:footer="1417" w:gutter="0"/>
          <w:cols w:space="720" w:num="1"/>
          <w:docGrid w:type="lines" w:linePitch="312" w:charSpace="0"/>
        </w:sectPr>
      </w:pPr>
      <w:r>
        <w:rPr>
          <w:rFonts w:hint="eastAsia" w:ascii="仿宋_GB2312" w:eastAsia="仿宋_GB2312"/>
          <w:sz w:val="32"/>
          <w:szCs w:val="32"/>
        </w:rPr>
        <w:t>202</w:t>
      </w:r>
      <w:r>
        <w:rPr>
          <w:rFonts w:hint="eastAsia" w:ascii="仿宋_GB2312" w:eastAsia="仿宋_GB2312"/>
          <w:sz w:val="32"/>
          <w:szCs w:val="32"/>
          <w:lang w:val="en-US" w:eastAsia="zh-CN"/>
        </w:rPr>
        <w:t>1</w:t>
      </w:r>
      <w:r>
        <w:rPr>
          <w:rFonts w:hint="eastAsia" w:ascii="仿宋_GB2312" w:eastAsia="仿宋_GB2312"/>
          <w:sz w:val="32"/>
          <w:szCs w:val="32"/>
        </w:rPr>
        <w:t>年</w:t>
      </w:r>
      <w:r>
        <w:rPr>
          <w:rFonts w:hint="eastAsia" w:ascii="仿宋_GB2312" w:eastAsia="仿宋_GB2312"/>
          <w:sz w:val="32"/>
          <w:szCs w:val="32"/>
          <w:lang w:val="en-US" w:eastAsia="zh-CN"/>
        </w:rPr>
        <w:t>11</w:t>
      </w:r>
      <w:r>
        <w:rPr>
          <w:rFonts w:hint="eastAsia" w:ascii="仿宋_GB2312" w:eastAsia="仿宋_GB2312"/>
          <w:sz w:val="32"/>
          <w:szCs w:val="32"/>
        </w:rPr>
        <w:t>月</w:t>
      </w:r>
      <w:r>
        <w:rPr>
          <w:rFonts w:hint="eastAsia" w:ascii="仿宋_GB2312" w:eastAsia="仿宋_GB2312"/>
          <w:sz w:val="32"/>
          <w:szCs w:val="32"/>
          <w:lang w:val="en-US" w:eastAsia="zh-CN"/>
        </w:rPr>
        <w:t>30</w:t>
      </w:r>
      <w:r>
        <w:rPr>
          <w:rFonts w:hint="eastAsia" w:ascii="仿宋_GB2312" w:eastAsia="仿宋_GB2312"/>
          <w:sz w:val="32"/>
          <w:szCs w:val="32"/>
        </w:rPr>
        <w:t>日</w:t>
      </w:r>
    </w:p>
    <w:p>
      <w:pPr>
        <w:snapToGrid w:val="0"/>
        <w:jc w:val="center"/>
        <w:rPr>
          <w:rFonts w:ascii="方正小标宋简体" w:hAnsi="黑体" w:eastAsia="方正小标宋简体" w:cs="Arial"/>
          <w:color w:val="auto"/>
          <w:sz w:val="44"/>
        </w:rPr>
      </w:pPr>
      <w:r>
        <w:rPr>
          <w:rFonts w:hint="eastAsia" w:ascii="方正小标宋简体" w:hAnsi="黑体" w:eastAsia="方正小标宋简体" w:cs="Arial"/>
          <w:color w:val="auto"/>
          <w:sz w:val="44"/>
        </w:rPr>
        <w:t>松江区助推高质量发展</w:t>
      </w:r>
      <w:r>
        <w:rPr>
          <w:rFonts w:ascii="方正小标宋简体" w:hAnsi="黑体" w:eastAsia="方正小标宋简体" w:cs="Arial"/>
          <w:color w:val="auto"/>
          <w:sz w:val="44"/>
        </w:rPr>
        <w:t>专项资金管理办法</w:t>
      </w:r>
    </w:p>
    <w:p>
      <w:pPr>
        <w:snapToGrid w:val="0"/>
        <w:spacing w:line="560" w:lineRule="exact"/>
        <w:jc w:val="center"/>
        <w:rPr>
          <w:rFonts w:ascii="黑体" w:hAnsi="黑体" w:eastAsia="黑体" w:cs="Arial"/>
          <w:color w:val="auto"/>
          <w:sz w:val="32"/>
          <w:szCs w:val="32"/>
        </w:rPr>
      </w:pP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ascii="黑体" w:hAnsi="黑体" w:eastAsia="黑体" w:cs="Arial"/>
          <w:color w:val="auto"/>
          <w:sz w:val="32"/>
          <w:szCs w:val="32"/>
        </w:rPr>
      </w:pPr>
      <w:r>
        <w:rPr>
          <w:rFonts w:ascii="黑体" w:hAnsi="黑体" w:eastAsia="黑体" w:cs="Arial"/>
          <w:color w:val="auto"/>
          <w:sz w:val="32"/>
          <w:szCs w:val="32"/>
        </w:rPr>
        <w:t>第一章 总 则</w:t>
      </w:r>
    </w:p>
    <w:p>
      <w:pPr>
        <w:keepNext w:val="0"/>
        <w:keepLines w:val="0"/>
        <w:pageBreakBefore w:val="0"/>
        <w:widowControl w:val="0"/>
        <w:kinsoku/>
        <w:wordWrap/>
        <w:overflowPunct/>
        <w:topLinePunct w:val="0"/>
        <w:autoSpaceDE/>
        <w:autoSpaceDN/>
        <w:bidi w:val="0"/>
        <w:adjustRightInd/>
        <w:snapToGrid w:val="0"/>
        <w:spacing w:line="560" w:lineRule="exact"/>
        <w:ind w:firstLine="630" w:firstLineChars="196"/>
        <w:textAlignment w:val="auto"/>
        <w:rPr>
          <w:rStyle w:val="22"/>
          <w:rFonts w:hint="default" w:hAnsi="黑体"/>
          <w:b/>
          <w:color w:val="auto"/>
        </w:rPr>
      </w:pPr>
      <w:r>
        <w:rPr>
          <w:rStyle w:val="22"/>
          <w:rFonts w:hint="default" w:hAnsi="黑体"/>
          <w:b/>
          <w:color w:val="auto"/>
        </w:rPr>
        <w:t>第一条 （目的和依据）</w:t>
      </w:r>
    </w:p>
    <w:p>
      <w:pPr>
        <w:keepNext w:val="0"/>
        <w:keepLines w:val="0"/>
        <w:pageBreakBefore w:val="0"/>
        <w:widowControl w:val="0"/>
        <w:kinsoku/>
        <w:wordWrap/>
        <w:overflowPunct/>
        <w:topLinePunct w:val="0"/>
        <w:autoSpaceDE/>
        <w:autoSpaceDN/>
        <w:bidi w:val="0"/>
        <w:adjustRightInd/>
        <w:snapToGrid w:val="0"/>
        <w:spacing w:line="560" w:lineRule="exact"/>
        <w:ind w:firstLine="556"/>
        <w:textAlignment w:val="auto"/>
        <w:rPr>
          <w:rStyle w:val="22"/>
          <w:rFonts w:hint="default" w:hAnsi="黑体"/>
          <w:color w:val="auto"/>
        </w:rPr>
      </w:pPr>
      <w:r>
        <w:rPr>
          <w:rStyle w:val="22"/>
          <w:rFonts w:hint="default" w:hAnsi="黑体"/>
          <w:color w:val="auto"/>
        </w:rPr>
        <w:t>为推动区域高质量发展，落实推进质量工作真抓实干成效明显地方政策激励措施，进一步发挥质量管理、计量、标准、认证认可、检验检测和知识产权等对高质量发展的支撑保障作用，设立</w:t>
      </w:r>
      <w:r>
        <w:rPr>
          <w:rFonts w:hint="eastAsia" w:ascii="仿宋_GB2312" w:hAnsi="黑体" w:eastAsia="仿宋_GB2312"/>
          <w:color w:val="auto"/>
          <w:sz w:val="32"/>
          <w:szCs w:val="32"/>
          <w:shd w:val="clear" w:color="auto" w:fill="FFFFFF"/>
        </w:rPr>
        <w:t>松江区助推高质量发展专项资金</w:t>
      </w:r>
      <w:r>
        <w:rPr>
          <w:rStyle w:val="22"/>
          <w:rFonts w:hint="default" w:hAnsi="黑体"/>
          <w:color w:val="auto"/>
        </w:rPr>
        <w:t>（以下简称“专项资金”）。为规范专项资金管理，提高资金使用效益，特制定本办法。</w:t>
      </w:r>
    </w:p>
    <w:p>
      <w:pPr>
        <w:keepNext w:val="0"/>
        <w:keepLines w:val="0"/>
        <w:pageBreakBefore w:val="0"/>
        <w:widowControl w:val="0"/>
        <w:kinsoku/>
        <w:wordWrap/>
        <w:overflowPunct/>
        <w:topLinePunct w:val="0"/>
        <w:autoSpaceDE/>
        <w:autoSpaceDN/>
        <w:bidi w:val="0"/>
        <w:adjustRightInd/>
        <w:snapToGrid w:val="0"/>
        <w:spacing w:line="560" w:lineRule="exact"/>
        <w:ind w:firstLine="556"/>
        <w:textAlignment w:val="auto"/>
        <w:rPr>
          <w:rStyle w:val="22"/>
          <w:rFonts w:hint="default" w:hAnsi="黑体"/>
          <w:b/>
          <w:color w:val="auto"/>
        </w:rPr>
      </w:pPr>
      <w:r>
        <w:rPr>
          <w:rStyle w:val="22"/>
          <w:rFonts w:hint="default" w:hAnsi="黑体"/>
          <w:b/>
          <w:color w:val="auto"/>
        </w:rPr>
        <w:t>第二条（资金定义）</w:t>
      </w:r>
    </w:p>
    <w:p>
      <w:pPr>
        <w:keepNext w:val="0"/>
        <w:keepLines w:val="0"/>
        <w:pageBreakBefore w:val="0"/>
        <w:widowControl w:val="0"/>
        <w:kinsoku/>
        <w:wordWrap/>
        <w:overflowPunct/>
        <w:topLinePunct w:val="0"/>
        <w:autoSpaceDE/>
        <w:autoSpaceDN/>
        <w:bidi w:val="0"/>
        <w:adjustRightInd/>
        <w:snapToGrid w:val="0"/>
        <w:spacing w:line="560" w:lineRule="exact"/>
        <w:ind w:firstLine="556"/>
        <w:textAlignment w:val="auto"/>
        <w:rPr>
          <w:rStyle w:val="22"/>
          <w:rFonts w:hint="default" w:hAnsi="黑体"/>
          <w:color w:val="auto"/>
        </w:rPr>
      </w:pPr>
      <w:r>
        <w:rPr>
          <w:rStyle w:val="22"/>
          <w:rFonts w:hint="default" w:hAnsi="黑体"/>
          <w:color w:val="auto"/>
        </w:rPr>
        <w:t>本办法所指的专项资金是指由区级财政预算安排，用于支持质量发展、自主品牌建设、知识产权</w:t>
      </w:r>
      <w:r>
        <w:rPr>
          <w:rStyle w:val="22"/>
          <w:rFonts w:hint="eastAsia" w:hAnsi="黑体" w:eastAsia="仿宋_GB2312"/>
          <w:color w:val="auto"/>
          <w:lang w:eastAsia="zh-CN"/>
        </w:rPr>
        <w:t>保护和</w:t>
      </w:r>
      <w:r>
        <w:rPr>
          <w:rStyle w:val="22"/>
          <w:rFonts w:hint="default" w:hAnsi="黑体"/>
          <w:color w:val="auto"/>
        </w:rPr>
        <w:t>运用等方面的资金。专项资金支持方式根据不同类别分为奖励和资助两类。</w:t>
      </w:r>
    </w:p>
    <w:p>
      <w:pPr>
        <w:keepNext w:val="0"/>
        <w:keepLines w:val="0"/>
        <w:pageBreakBefore w:val="0"/>
        <w:widowControl w:val="0"/>
        <w:kinsoku/>
        <w:wordWrap/>
        <w:overflowPunct/>
        <w:topLinePunct w:val="0"/>
        <w:autoSpaceDE/>
        <w:autoSpaceDN/>
        <w:bidi w:val="0"/>
        <w:adjustRightInd/>
        <w:snapToGrid w:val="0"/>
        <w:spacing w:line="560" w:lineRule="exact"/>
        <w:ind w:firstLine="555"/>
        <w:textAlignment w:val="auto"/>
        <w:rPr>
          <w:rStyle w:val="22"/>
          <w:rFonts w:hint="default" w:hAnsi="黑体"/>
          <w:b/>
          <w:color w:val="auto"/>
        </w:rPr>
      </w:pPr>
      <w:r>
        <w:rPr>
          <w:rStyle w:val="22"/>
          <w:rFonts w:hint="default" w:hAnsi="黑体"/>
          <w:b/>
          <w:color w:val="auto"/>
        </w:rPr>
        <w:t>第三条（使用原则）</w:t>
      </w:r>
    </w:p>
    <w:p>
      <w:pPr>
        <w:keepNext w:val="0"/>
        <w:keepLines w:val="0"/>
        <w:pageBreakBefore w:val="0"/>
        <w:widowControl w:val="0"/>
        <w:kinsoku/>
        <w:wordWrap/>
        <w:overflowPunct/>
        <w:topLinePunct w:val="0"/>
        <w:autoSpaceDE/>
        <w:autoSpaceDN/>
        <w:bidi w:val="0"/>
        <w:adjustRightInd/>
        <w:snapToGrid w:val="0"/>
        <w:spacing w:line="560" w:lineRule="exact"/>
        <w:ind w:firstLine="555"/>
        <w:textAlignment w:val="auto"/>
        <w:rPr>
          <w:rStyle w:val="22"/>
          <w:rFonts w:hint="default" w:hAnsi="黑体"/>
          <w:color w:val="auto"/>
        </w:rPr>
      </w:pPr>
      <w:r>
        <w:rPr>
          <w:rStyle w:val="22"/>
          <w:rFonts w:hint="default" w:hAnsi="黑体"/>
          <w:color w:val="auto"/>
        </w:rPr>
        <w:t>专项资金的使用应当符合国家、上海市和松江区的产业发展政策导向，符合财政预算管理的有关规定，聚焦重点项目，坚持公开、公平、公正，确保资金使用的安全和高效。</w:t>
      </w:r>
    </w:p>
    <w:p>
      <w:pPr>
        <w:keepNext w:val="0"/>
        <w:keepLines w:val="0"/>
        <w:pageBreakBefore w:val="0"/>
        <w:widowControl w:val="0"/>
        <w:kinsoku/>
        <w:wordWrap/>
        <w:overflowPunct/>
        <w:topLinePunct w:val="0"/>
        <w:autoSpaceDE/>
        <w:autoSpaceDN/>
        <w:bidi w:val="0"/>
        <w:adjustRightInd/>
        <w:snapToGrid w:val="0"/>
        <w:spacing w:line="560" w:lineRule="exact"/>
        <w:ind w:firstLine="555"/>
        <w:textAlignment w:val="auto"/>
        <w:rPr>
          <w:rStyle w:val="22"/>
          <w:rFonts w:hint="default" w:hAnsi="黑体"/>
          <w:b/>
          <w:color w:val="auto"/>
        </w:rPr>
      </w:pPr>
      <w:r>
        <w:rPr>
          <w:rStyle w:val="22"/>
          <w:rFonts w:hint="default" w:hAnsi="黑体"/>
          <w:b/>
          <w:color w:val="auto"/>
        </w:rPr>
        <w:t>第四条（适用范围）</w:t>
      </w:r>
    </w:p>
    <w:p>
      <w:pPr>
        <w:keepNext w:val="0"/>
        <w:keepLines w:val="0"/>
        <w:pageBreakBefore w:val="0"/>
        <w:widowControl w:val="0"/>
        <w:kinsoku/>
        <w:wordWrap/>
        <w:overflowPunct/>
        <w:topLinePunct w:val="0"/>
        <w:autoSpaceDE/>
        <w:autoSpaceDN/>
        <w:bidi w:val="0"/>
        <w:adjustRightInd/>
        <w:snapToGrid w:val="0"/>
        <w:spacing w:line="560" w:lineRule="exact"/>
        <w:ind w:firstLine="555"/>
        <w:textAlignment w:val="auto"/>
        <w:rPr>
          <w:rStyle w:val="22"/>
          <w:rFonts w:hint="default" w:hAnsi="黑体"/>
          <w:color w:val="auto"/>
        </w:rPr>
      </w:pPr>
      <w:r>
        <w:rPr>
          <w:rStyle w:val="22"/>
          <w:rFonts w:hint="default" w:hAnsi="黑体"/>
          <w:color w:val="auto"/>
        </w:rPr>
        <w:t>在松江区依法设立、经营状态正常、信用记录良好、两年内未发生违法、违规行为的法人和非法人组织等单位（以下简称</w:t>
      </w:r>
      <w:r>
        <w:rPr>
          <w:rStyle w:val="22"/>
          <w:rFonts w:hint="default" w:ascii="CESI仿宋-GB2312" w:hAnsi="CESI仿宋-GB2312" w:eastAsia="CESI仿宋-GB2312" w:cs="CESI仿宋-GB2312"/>
          <w:color w:val="auto"/>
        </w:rPr>
        <w:t>“</w:t>
      </w:r>
      <w:r>
        <w:rPr>
          <w:rStyle w:val="22"/>
          <w:rFonts w:hint="default" w:hAnsi="黑体"/>
          <w:color w:val="auto"/>
        </w:rPr>
        <w:t>单位</w:t>
      </w:r>
      <w:r>
        <w:rPr>
          <w:rStyle w:val="22"/>
          <w:rFonts w:hint="default" w:ascii="CESI仿宋-GB2312" w:hAnsi="CESI仿宋-GB2312" w:eastAsia="CESI仿宋-GB2312" w:cs="CESI仿宋-GB2312"/>
          <w:color w:val="auto"/>
        </w:rPr>
        <w:t>”</w:t>
      </w:r>
      <w:r>
        <w:rPr>
          <w:rStyle w:val="22"/>
          <w:rFonts w:hint="default" w:hAnsi="黑体"/>
          <w:color w:val="auto"/>
        </w:rPr>
        <w:t>），以及信用记录良好的个人。</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hAnsi="黑体"/>
          <w:color w:val="auto"/>
        </w:rPr>
      </w:pPr>
      <w:r>
        <w:rPr>
          <w:rStyle w:val="22"/>
          <w:rFonts w:hint="default" w:hAnsi="黑体"/>
          <w:color w:val="auto"/>
        </w:rPr>
        <w:t>由各级财政预算全额拨款的单位不适用本办法。</w:t>
      </w:r>
    </w:p>
    <w:p>
      <w:pPr>
        <w:keepNext w:val="0"/>
        <w:keepLines w:val="0"/>
        <w:pageBreakBefore w:val="0"/>
        <w:widowControl w:val="0"/>
        <w:kinsoku/>
        <w:wordWrap/>
        <w:overflowPunct/>
        <w:topLinePunct w:val="0"/>
        <w:autoSpaceDE/>
        <w:autoSpaceDN/>
        <w:bidi w:val="0"/>
        <w:adjustRightInd/>
        <w:snapToGrid w:val="0"/>
        <w:spacing w:line="560" w:lineRule="exact"/>
        <w:ind w:firstLine="555"/>
        <w:textAlignment w:val="auto"/>
        <w:rPr>
          <w:rStyle w:val="22"/>
          <w:rFonts w:hint="default" w:hAnsi="黑体"/>
          <w:b/>
          <w:color w:val="auto"/>
        </w:rPr>
      </w:pPr>
      <w:r>
        <w:rPr>
          <w:rStyle w:val="22"/>
          <w:rFonts w:hint="default" w:hAnsi="黑体"/>
          <w:b/>
          <w:color w:val="auto"/>
        </w:rPr>
        <w:t>第五条（管理职责）</w:t>
      </w:r>
    </w:p>
    <w:p>
      <w:pPr>
        <w:keepNext w:val="0"/>
        <w:keepLines w:val="0"/>
        <w:pageBreakBefore w:val="0"/>
        <w:widowControl w:val="0"/>
        <w:kinsoku/>
        <w:wordWrap/>
        <w:overflowPunct/>
        <w:topLinePunct w:val="0"/>
        <w:autoSpaceDE/>
        <w:autoSpaceDN/>
        <w:bidi w:val="0"/>
        <w:adjustRightInd/>
        <w:snapToGrid w:val="0"/>
        <w:spacing w:line="560" w:lineRule="exact"/>
        <w:ind w:firstLine="555"/>
        <w:textAlignment w:val="auto"/>
        <w:rPr>
          <w:rStyle w:val="22"/>
          <w:rFonts w:hint="default" w:hAnsi="黑体"/>
          <w:color w:val="auto"/>
        </w:rPr>
      </w:pPr>
      <w:r>
        <w:rPr>
          <w:rStyle w:val="22"/>
          <w:rFonts w:hint="default" w:hAnsi="黑体"/>
          <w:color w:val="auto"/>
        </w:rPr>
        <w:t>松江区市场监督管理局（以下简称</w:t>
      </w:r>
      <w:r>
        <w:rPr>
          <w:rStyle w:val="22"/>
          <w:rFonts w:hint="default" w:ascii="CESI仿宋-GB2312" w:hAnsi="CESI仿宋-GB2312" w:eastAsia="CESI仿宋-GB2312" w:cs="CESI仿宋-GB2312"/>
          <w:color w:val="auto"/>
        </w:rPr>
        <w:t>“</w:t>
      </w:r>
      <w:r>
        <w:rPr>
          <w:rStyle w:val="22"/>
          <w:rFonts w:hint="default" w:hAnsi="黑体"/>
          <w:color w:val="auto"/>
        </w:rPr>
        <w:t>区市场监管局</w:t>
      </w:r>
      <w:r>
        <w:rPr>
          <w:rStyle w:val="22"/>
          <w:rFonts w:hint="default" w:ascii="CESI仿宋-GB2312" w:hAnsi="CESI仿宋-GB2312" w:eastAsia="CESI仿宋-GB2312" w:cs="CESI仿宋-GB2312"/>
          <w:color w:val="auto"/>
        </w:rPr>
        <w:t>”</w:t>
      </w:r>
      <w:r>
        <w:rPr>
          <w:rStyle w:val="22"/>
          <w:rFonts w:hint="default" w:hAnsi="黑体"/>
          <w:color w:val="auto"/>
        </w:rPr>
        <w:t>）负责编制专项资金预算，发布年度项目申报通知和申报指南，确定年度支持重点，组织实施项目评审等工作。</w:t>
      </w:r>
    </w:p>
    <w:p>
      <w:pPr>
        <w:keepNext w:val="0"/>
        <w:keepLines w:val="0"/>
        <w:pageBreakBefore w:val="0"/>
        <w:widowControl w:val="0"/>
        <w:kinsoku/>
        <w:wordWrap/>
        <w:overflowPunct/>
        <w:topLinePunct w:val="0"/>
        <w:autoSpaceDE/>
        <w:autoSpaceDN/>
        <w:bidi w:val="0"/>
        <w:adjustRightInd/>
        <w:snapToGrid w:val="0"/>
        <w:spacing w:line="560" w:lineRule="exact"/>
        <w:ind w:firstLine="555"/>
        <w:textAlignment w:val="auto"/>
        <w:rPr>
          <w:rStyle w:val="22"/>
          <w:rFonts w:hint="default" w:hAnsi="黑体"/>
          <w:color w:val="auto"/>
        </w:rPr>
      </w:pP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Style w:val="22"/>
          <w:rFonts w:hint="default" w:ascii="黑体" w:hAnsi="黑体" w:eastAsia="黑体"/>
          <w:color w:val="auto"/>
        </w:rPr>
      </w:pPr>
      <w:r>
        <w:rPr>
          <w:rStyle w:val="22"/>
          <w:rFonts w:hint="default" w:ascii="黑体" w:hAnsi="黑体" w:eastAsia="黑体"/>
          <w:color w:val="auto"/>
        </w:rPr>
        <w:t>第二章 支持项目类别</w:t>
      </w:r>
    </w:p>
    <w:p>
      <w:pPr>
        <w:keepNext w:val="0"/>
        <w:keepLines w:val="0"/>
        <w:pageBreakBefore w:val="0"/>
        <w:widowControl w:val="0"/>
        <w:kinsoku/>
        <w:wordWrap/>
        <w:overflowPunct/>
        <w:topLinePunct w:val="0"/>
        <w:autoSpaceDE/>
        <w:autoSpaceDN/>
        <w:bidi w:val="0"/>
        <w:adjustRightInd/>
        <w:snapToGrid w:val="0"/>
        <w:spacing w:line="560" w:lineRule="exact"/>
        <w:ind w:firstLine="803" w:firstLineChars="250"/>
        <w:textAlignment w:val="auto"/>
        <w:rPr>
          <w:rStyle w:val="22"/>
          <w:rFonts w:hint="default" w:hAnsi="黑体"/>
          <w:b/>
          <w:color w:val="auto"/>
        </w:rPr>
      </w:pPr>
      <w:r>
        <w:rPr>
          <w:rStyle w:val="22"/>
          <w:rFonts w:hint="default" w:hAnsi="黑体"/>
          <w:b/>
          <w:color w:val="auto"/>
        </w:rPr>
        <w:t>第六条（支持争创各级政府荣誉）</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 xml:space="preserve">（一）对获得中国质量奖的单位，给予最高150万元的一次性奖励，对获得中国质量奖提名奖的单位，给予最高100万元的一次性奖励。    </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（二）对获得上海市市长质量奖的单位，给予最高100万元的一次性奖励，对获得上海市质量金奖的单位，给予最高50万元的一次性奖励。</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三）对获得松江区区长质量奖的单位，给予一次性奖励50万元，对获得松江区区长质量奖的个人，给予一次性奖励2万元；对获得松江区质量金奖的单位，给予一次性奖励30万元；对获得松江区质量创新奖的单位，给予一次性奖励20万元。</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b/>
          <w:color w:val="auto"/>
        </w:rPr>
      </w:pPr>
      <w:r>
        <w:rPr>
          <w:rStyle w:val="22"/>
          <w:rFonts w:hint="default"/>
          <w:color w:val="auto"/>
        </w:rPr>
        <w:t>（四）对获得</w:t>
      </w:r>
      <w:r>
        <w:rPr>
          <w:rStyle w:val="22"/>
          <w:rFonts w:ascii="CESI仿宋-GB2312" w:hAnsi="CESI仿宋-GB2312" w:eastAsia="CESI仿宋-GB2312" w:cs="CESI仿宋-GB2312"/>
          <w:color w:val="auto"/>
        </w:rPr>
        <w:t>“</w:t>
      </w:r>
      <w:r>
        <w:rPr>
          <w:rStyle w:val="22"/>
          <w:rFonts w:hint="default"/>
          <w:color w:val="auto"/>
        </w:rPr>
        <w:t>上海市重点产品质量攻关成果奖</w:t>
      </w:r>
      <w:r>
        <w:rPr>
          <w:rStyle w:val="22"/>
          <w:rFonts w:ascii="CESI仿宋-GB2312" w:hAnsi="CESI仿宋-GB2312" w:eastAsia="CESI仿宋-GB2312" w:cs="CESI仿宋-GB2312"/>
          <w:color w:val="auto"/>
        </w:rPr>
        <w:t>”</w:t>
      </w:r>
      <w:r>
        <w:rPr>
          <w:rStyle w:val="22"/>
          <w:rFonts w:hint="default"/>
          <w:color w:val="auto"/>
        </w:rPr>
        <w:t>一、二、三等奖项的单位，分别给予</w:t>
      </w:r>
      <w:r>
        <w:rPr>
          <w:rStyle w:val="22"/>
          <w:color w:val="auto"/>
        </w:rPr>
        <w:t>30</w:t>
      </w:r>
      <w:r>
        <w:rPr>
          <w:rStyle w:val="22"/>
          <w:rFonts w:hint="default"/>
          <w:color w:val="auto"/>
        </w:rPr>
        <w:t>万元、</w:t>
      </w:r>
      <w:r>
        <w:rPr>
          <w:rStyle w:val="22"/>
          <w:color w:val="auto"/>
        </w:rPr>
        <w:t>20</w:t>
      </w:r>
      <w:r>
        <w:rPr>
          <w:rStyle w:val="22"/>
          <w:rFonts w:hint="default"/>
          <w:color w:val="auto"/>
        </w:rPr>
        <w:t>万元、10万元的一次性</w:t>
      </w:r>
      <w:r>
        <w:rPr>
          <w:rStyle w:val="22"/>
          <w:color w:val="auto"/>
        </w:rPr>
        <w:t>奖励</w:t>
      </w:r>
      <w:r>
        <w:rPr>
          <w:rStyle w:val="22"/>
          <w:rFonts w:hint="default"/>
          <w:color w:val="auto"/>
        </w:rPr>
        <w:t>。</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（五）对获得中国专利</w:t>
      </w:r>
      <w:r>
        <w:rPr>
          <w:rStyle w:val="22"/>
          <w:color w:val="auto"/>
        </w:rPr>
        <w:t>奖</w:t>
      </w:r>
      <w:r>
        <w:rPr>
          <w:rStyle w:val="22"/>
          <w:rFonts w:hint="default"/>
          <w:color w:val="auto"/>
        </w:rPr>
        <w:t>金</w:t>
      </w:r>
      <w:r>
        <w:rPr>
          <w:rStyle w:val="22"/>
          <w:color w:val="auto"/>
        </w:rPr>
        <w:t>奖（外观设计金奖）项目每项给予最高100万元的一次性奖励；对获得中国专利奖</w:t>
      </w:r>
      <w:r>
        <w:rPr>
          <w:rStyle w:val="22"/>
          <w:rFonts w:hint="default"/>
          <w:color w:val="auto"/>
        </w:rPr>
        <w:t>银奖</w:t>
      </w:r>
      <w:r>
        <w:rPr>
          <w:rStyle w:val="22"/>
          <w:color w:val="auto"/>
        </w:rPr>
        <w:t>（外观设计银奖）项目每项给予最高50万元的一次性奖励；对获得中国专利奖优秀奖（外观设计优秀奖）项目每项给予最高20万元一次性奖励。</w:t>
      </w:r>
      <w:r>
        <w:rPr>
          <w:rStyle w:val="22"/>
          <w:rFonts w:hint="default"/>
          <w:color w:val="auto"/>
        </w:rPr>
        <w:br w:type="textWrapping"/>
      </w:r>
      <w:r>
        <w:rPr>
          <w:rStyle w:val="22"/>
          <w:rFonts w:hint="default"/>
          <w:color w:val="auto"/>
        </w:rPr>
        <w:t xml:space="preserve">    （六）</w:t>
      </w:r>
      <w:r>
        <w:rPr>
          <w:rStyle w:val="22"/>
          <w:color w:val="auto"/>
        </w:rPr>
        <w:t>对上海知识产权创新奖获奖单位，每家获奖单位给予最高100万元的一次性奖励。对获得上海市发明创造专利奖一等奖、二等奖、三等奖的单位，分别给予最高50万元、30万元、10万元的一次性奖励；对获得实用新型专利及外观设计奖的单位给予最高10万元的一次性奖励。</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（七）对获</w:t>
      </w:r>
      <w:r>
        <w:rPr>
          <w:rStyle w:val="22"/>
          <w:color w:val="auto"/>
        </w:rPr>
        <w:t>得</w:t>
      </w:r>
      <w:r>
        <w:rPr>
          <w:rStyle w:val="22"/>
          <w:rFonts w:ascii="CESI仿宋-GB2312" w:hAnsi="CESI仿宋-GB2312" w:eastAsia="CESI仿宋-GB2312" w:cs="CESI仿宋-GB2312"/>
          <w:color w:val="auto"/>
        </w:rPr>
        <w:t>“</w:t>
      </w:r>
      <w:r>
        <w:rPr>
          <w:rStyle w:val="22"/>
          <w:rFonts w:hint="default"/>
          <w:color w:val="auto"/>
        </w:rPr>
        <w:t>中国标准创新贡献奖标准项目奖</w:t>
      </w:r>
      <w:r>
        <w:rPr>
          <w:rStyle w:val="22"/>
          <w:rFonts w:ascii="CESI仿宋-GB2312" w:hAnsi="CESI仿宋-GB2312" w:eastAsia="CESI仿宋-GB2312" w:cs="CESI仿宋-GB2312"/>
          <w:color w:val="auto"/>
        </w:rPr>
        <w:t>”</w:t>
      </w:r>
      <w:r>
        <w:rPr>
          <w:rStyle w:val="22"/>
          <w:rFonts w:hint="default"/>
          <w:color w:val="auto"/>
        </w:rPr>
        <w:t>一、二、三等奖项的单位分别给予20万元、15万元、10万元的一次性</w:t>
      </w:r>
      <w:r>
        <w:rPr>
          <w:rStyle w:val="22"/>
          <w:color w:val="auto"/>
        </w:rPr>
        <w:t>奖励</w:t>
      </w:r>
      <w:r>
        <w:rPr>
          <w:rStyle w:val="22"/>
          <w:rFonts w:hint="default"/>
          <w:color w:val="auto"/>
        </w:rPr>
        <w:t>。对获</w:t>
      </w:r>
      <w:r>
        <w:rPr>
          <w:rStyle w:val="22"/>
          <w:color w:val="auto"/>
        </w:rPr>
        <w:t>得</w:t>
      </w:r>
      <w:r>
        <w:rPr>
          <w:rStyle w:val="22"/>
          <w:rFonts w:ascii="CESI仿宋-GB2312" w:hAnsi="CESI仿宋-GB2312" w:eastAsia="CESI仿宋-GB2312" w:cs="CESI仿宋-GB2312"/>
          <w:color w:val="auto"/>
        </w:rPr>
        <w:t>“</w:t>
      </w:r>
      <w:r>
        <w:rPr>
          <w:rStyle w:val="22"/>
          <w:rFonts w:hint="default"/>
          <w:color w:val="auto"/>
        </w:rPr>
        <w:t>中国标准创新贡献奖组织奖</w:t>
      </w:r>
      <w:r>
        <w:rPr>
          <w:rStyle w:val="22"/>
          <w:rFonts w:ascii="CESI仿宋-GB2312" w:hAnsi="CESI仿宋-GB2312" w:eastAsia="CESI仿宋-GB2312" w:cs="CESI仿宋-GB2312"/>
          <w:color w:val="auto"/>
        </w:rPr>
        <w:t>”</w:t>
      </w:r>
      <w:r>
        <w:rPr>
          <w:rStyle w:val="22"/>
          <w:rFonts w:hint="default"/>
          <w:color w:val="auto"/>
        </w:rPr>
        <w:t>的单位给予10万元的一次性</w:t>
      </w:r>
      <w:r>
        <w:rPr>
          <w:rStyle w:val="22"/>
          <w:color w:val="auto"/>
        </w:rPr>
        <w:t>奖励</w:t>
      </w:r>
      <w:r>
        <w:rPr>
          <w:rStyle w:val="22"/>
          <w:rFonts w:hint="default"/>
          <w:color w:val="auto"/>
        </w:rPr>
        <w:t>。</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Style w:val="22"/>
          <w:rFonts w:hint="default" w:hAnsi="黑体"/>
          <w:b/>
          <w:color w:val="auto"/>
        </w:rPr>
      </w:pPr>
      <w:r>
        <w:rPr>
          <w:rStyle w:val="22"/>
          <w:rFonts w:hint="default" w:hAnsi="黑体"/>
          <w:b/>
          <w:color w:val="auto"/>
        </w:rPr>
        <w:t>第七条（支持质量品牌发展）</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（一）对新获</w:t>
      </w:r>
      <w:r>
        <w:rPr>
          <w:rStyle w:val="22"/>
          <w:rFonts w:ascii="CESI仿宋-GB2312" w:hAnsi="CESI仿宋-GB2312" w:eastAsia="CESI仿宋-GB2312" w:cs="CESI仿宋-GB2312"/>
          <w:color w:val="auto"/>
        </w:rPr>
        <w:t>“</w:t>
      </w:r>
      <w:r>
        <w:rPr>
          <w:rStyle w:val="22"/>
          <w:rFonts w:hint="default"/>
          <w:color w:val="auto"/>
        </w:rPr>
        <w:t>上海品牌</w:t>
      </w:r>
      <w:r>
        <w:rPr>
          <w:rStyle w:val="22"/>
          <w:rFonts w:ascii="CESI仿宋-GB2312" w:hAnsi="CESI仿宋-GB2312" w:eastAsia="CESI仿宋-GB2312" w:cs="CESI仿宋-GB2312"/>
          <w:color w:val="auto"/>
        </w:rPr>
        <w:t>”</w:t>
      </w:r>
      <w:r>
        <w:rPr>
          <w:rStyle w:val="22"/>
          <w:rFonts w:hint="default"/>
          <w:color w:val="auto"/>
        </w:rPr>
        <w:t>认证的单位给予一次性</w:t>
      </w:r>
      <w:r>
        <w:rPr>
          <w:rStyle w:val="22"/>
          <w:color w:val="auto"/>
        </w:rPr>
        <w:t>奖励50</w:t>
      </w:r>
      <w:r>
        <w:rPr>
          <w:rStyle w:val="22"/>
          <w:rFonts w:hint="default"/>
          <w:color w:val="auto"/>
        </w:rPr>
        <w:t>万元</w:t>
      </w:r>
      <w:r>
        <w:rPr>
          <w:rStyle w:val="22"/>
          <w:color w:val="auto"/>
        </w:rPr>
        <w:t>，扩项或</w:t>
      </w:r>
      <w:r>
        <w:rPr>
          <w:rStyle w:val="22"/>
          <w:rFonts w:hint="default"/>
          <w:color w:val="auto"/>
        </w:rPr>
        <w:t>再</w:t>
      </w:r>
      <w:r>
        <w:rPr>
          <w:rStyle w:val="22"/>
          <w:color w:val="auto"/>
        </w:rPr>
        <w:t>认证</w:t>
      </w:r>
      <w:r>
        <w:rPr>
          <w:rStyle w:val="22"/>
          <w:rFonts w:hint="default"/>
          <w:color w:val="auto"/>
        </w:rPr>
        <w:t>每次</w:t>
      </w:r>
      <w:r>
        <w:rPr>
          <w:rStyle w:val="22"/>
          <w:color w:val="auto"/>
        </w:rPr>
        <w:t>给予一次性奖励</w:t>
      </w:r>
      <w:r>
        <w:rPr>
          <w:rStyle w:val="22"/>
          <w:rFonts w:hint="default"/>
          <w:color w:val="auto"/>
        </w:rPr>
        <w:t>10万元。</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（二）对被确定为</w:t>
      </w:r>
      <w:r>
        <w:rPr>
          <w:rStyle w:val="22"/>
          <w:rFonts w:ascii="CESI仿宋-GB2312" w:hAnsi="CESI仿宋-GB2312" w:eastAsia="CESI仿宋-GB2312" w:cs="CESI仿宋-GB2312"/>
          <w:color w:val="auto"/>
        </w:rPr>
        <w:t>“</w:t>
      </w:r>
      <w:r>
        <w:rPr>
          <w:rStyle w:val="22"/>
          <w:rFonts w:hint="default"/>
          <w:color w:val="auto"/>
        </w:rPr>
        <w:t>上海标准</w:t>
      </w:r>
      <w:r>
        <w:rPr>
          <w:rStyle w:val="22"/>
          <w:rFonts w:ascii="CESI仿宋-GB2312" w:hAnsi="CESI仿宋-GB2312" w:eastAsia="CESI仿宋-GB2312" w:cs="CESI仿宋-GB2312"/>
          <w:color w:val="auto"/>
        </w:rPr>
        <w:t>”</w:t>
      </w:r>
      <w:r>
        <w:rPr>
          <w:rStyle w:val="22"/>
          <w:rFonts w:hint="default"/>
          <w:color w:val="auto"/>
        </w:rPr>
        <w:t>的标准项目单位给予一次性</w:t>
      </w:r>
      <w:r>
        <w:rPr>
          <w:rStyle w:val="22"/>
          <w:color w:val="auto"/>
        </w:rPr>
        <w:t>奖励50</w:t>
      </w:r>
      <w:r>
        <w:rPr>
          <w:rStyle w:val="22"/>
          <w:rFonts w:hint="default"/>
          <w:color w:val="auto"/>
        </w:rPr>
        <w:t>万元。</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（三）对通过国家级、市级质量品牌提升示范区验收的单位，分别给予一次性</w:t>
      </w:r>
      <w:r>
        <w:rPr>
          <w:rStyle w:val="22"/>
          <w:color w:val="auto"/>
        </w:rPr>
        <w:t>奖励</w:t>
      </w:r>
      <w:r>
        <w:rPr>
          <w:rStyle w:val="22"/>
          <w:rFonts w:hint="default"/>
          <w:color w:val="auto"/>
        </w:rPr>
        <w:t>100万元、50万元。</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（四）对开展涉外商标注册的单位，给予30%的涉外商标注册费用</w:t>
      </w:r>
      <w:r>
        <w:rPr>
          <w:rStyle w:val="22"/>
          <w:color w:val="auto"/>
        </w:rPr>
        <w:t>资助</w:t>
      </w:r>
      <w:r>
        <w:rPr>
          <w:rStyle w:val="22"/>
          <w:rFonts w:hint="default"/>
          <w:color w:val="auto"/>
        </w:rPr>
        <w:t>，单个国家或地区补贴不超过5000元，每家单位</w:t>
      </w:r>
      <w:r>
        <w:rPr>
          <w:rStyle w:val="22"/>
          <w:color w:val="auto"/>
        </w:rPr>
        <w:t>资助</w:t>
      </w:r>
      <w:r>
        <w:rPr>
          <w:rStyle w:val="22"/>
          <w:rFonts w:hint="default"/>
          <w:color w:val="auto"/>
        </w:rPr>
        <w:t>不超过5万元。</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（五）对开展市级以上商标品牌建设项目的单位，根据市知识产权局扶持资金给予1:1配套</w:t>
      </w:r>
      <w:r>
        <w:rPr>
          <w:rStyle w:val="22"/>
          <w:color w:val="auto"/>
        </w:rPr>
        <w:t>资助</w:t>
      </w:r>
      <w:r>
        <w:rPr>
          <w:rStyle w:val="22"/>
          <w:rFonts w:hint="default"/>
          <w:color w:val="auto"/>
        </w:rPr>
        <w:t>。</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Style w:val="22"/>
          <w:rFonts w:hint="default" w:eastAsia="仿宋_GB2312"/>
          <w:color w:val="auto"/>
          <w:lang w:val="en-US" w:eastAsia="zh-CN"/>
        </w:rPr>
      </w:pPr>
      <w:r>
        <w:rPr>
          <w:rStyle w:val="22"/>
          <w:rFonts w:hint="default" w:ascii="黑体" w:hAnsi="黑体" w:eastAsia="黑体"/>
          <w:b/>
          <w:color w:val="auto"/>
        </w:rPr>
        <w:t xml:space="preserve"> </w:t>
      </w:r>
      <w:r>
        <w:rPr>
          <w:rStyle w:val="22"/>
          <w:rFonts w:hint="default" w:hAnsi="黑体"/>
          <w:b/>
          <w:color w:val="auto"/>
        </w:rPr>
        <w:t>第八条（支持知识产权创造</w:t>
      </w:r>
      <w:r>
        <w:rPr>
          <w:rStyle w:val="22"/>
          <w:rFonts w:hint="eastAsia" w:hAnsi="黑体" w:eastAsia="仿宋_GB2312"/>
          <w:b/>
          <w:color w:val="auto"/>
          <w:lang w:eastAsia="zh-CN"/>
        </w:rPr>
        <w:t>、</w:t>
      </w:r>
      <w:r>
        <w:rPr>
          <w:rStyle w:val="22"/>
          <w:rFonts w:hint="default" w:hAnsi="黑体"/>
          <w:b/>
          <w:color w:val="auto"/>
        </w:rPr>
        <w:t>运用</w:t>
      </w:r>
      <w:r>
        <w:rPr>
          <w:rStyle w:val="22"/>
          <w:rFonts w:hint="eastAsia" w:hAnsi="黑体" w:eastAsia="仿宋_GB2312"/>
          <w:b/>
          <w:color w:val="auto"/>
          <w:lang w:eastAsia="zh-CN"/>
        </w:rPr>
        <w:t>和保护</w:t>
      </w:r>
      <w:r>
        <w:rPr>
          <w:rStyle w:val="22"/>
          <w:rFonts w:hint="default" w:hAnsi="黑体"/>
          <w:b/>
          <w:color w:val="auto"/>
        </w:rPr>
        <w:t>）</w:t>
      </w:r>
      <w:r>
        <w:rPr>
          <w:rStyle w:val="22"/>
          <w:rFonts w:hint="default" w:ascii="黑体" w:hAnsi="黑体" w:eastAsia="黑体"/>
          <w:color w:val="auto"/>
        </w:rPr>
        <w:br w:type="textWrapping"/>
      </w:r>
      <w:r>
        <w:rPr>
          <w:rStyle w:val="22"/>
          <w:rFonts w:hint="default"/>
          <w:color w:val="auto"/>
        </w:rPr>
        <w:t xml:space="preserve">    </w:t>
      </w:r>
      <w:r>
        <w:rPr>
          <w:rStyle w:val="22"/>
          <w:rFonts w:hint="default" w:eastAsia="仿宋_GB2312"/>
          <w:color w:val="auto"/>
          <w:lang w:eastAsia="zh-CN"/>
        </w:rPr>
        <w:t>（一）</w:t>
      </w:r>
      <w:r>
        <w:rPr>
          <w:rStyle w:val="22"/>
          <w:rFonts w:hint="eastAsia" w:eastAsia="仿宋_GB2312"/>
          <w:color w:val="auto"/>
          <w:lang w:eastAsia="zh-CN"/>
        </w:rPr>
        <w:t>对授权的国内发明专利一次性资助官费的</w:t>
      </w:r>
      <w:r>
        <w:rPr>
          <w:rStyle w:val="22"/>
          <w:rFonts w:hint="eastAsia" w:eastAsia="仿宋_GB2312"/>
          <w:color w:val="auto"/>
          <w:lang w:val="en-US" w:eastAsia="zh-CN"/>
        </w:rPr>
        <w:t>50%，官费为缴纳给国家知识产权局专利局的申请费、实质审查费等官方规定费用。对同一国内发明专利不与市级相同事项重复资助。</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Style w:val="22"/>
          <w:rFonts w:hint="default" w:eastAsia="仿宋_GB2312"/>
          <w:color w:val="auto"/>
          <w:lang w:val="en-US" w:eastAsia="zh-CN"/>
        </w:rPr>
      </w:pPr>
      <w:r>
        <w:rPr>
          <w:rStyle w:val="22"/>
          <w:rFonts w:hint="eastAsia" w:eastAsia="仿宋_GB2312"/>
          <w:color w:val="auto"/>
          <w:lang w:val="en-US" w:eastAsia="zh-CN"/>
        </w:rPr>
        <w:t xml:space="preserve">    </w:t>
      </w:r>
      <w:r>
        <w:rPr>
          <w:rStyle w:val="22"/>
          <w:rFonts w:hint="default"/>
          <w:color w:val="auto"/>
        </w:rPr>
        <w:t>（二）</w:t>
      </w:r>
      <w:r>
        <w:rPr>
          <w:rStyle w:val="22"/>
          <w:rFonts w:hint="eastAsia" w:eastAsia="仿宋_GB2312"/>
          <w:color w:val="auto"/>
          <w:lang w:eastAsia="zh-CN"/>
        </w:rPr>
        <w:t>对通过</w:t>
      </w:r>
      <w:r>
        <w:rPr>
          <w:rStyle w:val="22"/>
          <w:rFonts w:hint="eastAsia" w:eastAsia="仿宋_GB2312"/>
          <w:color w:val="auto"/>
          <w:lang w:val="en-US" w:eastAsia="zh-CN"/>
        </w:rPr>
        <w:t>PCT途径且经过有关专利审查机构实审获得国外授权的发明专利，一次性资助官费的50%，每件不超过2万元。官费为缴纳给有关专利管理部门的注册费、审查费等官方规定费用。对同一PCT专利不与市级相同事项重复资助。</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（三）对认定为国家知识产权示范企业的单位，给予最高60万元的资助；对认定为国家知识产权优势企业的单位， 给予最高40万元的资助。对认定为国家知识产权示范园区的单位，给予最高80万元的资助；对认定为国家知识产权试点园区的单位，给予最高60万元的资助。对认定为国家级知识产权保护规范化市场培育的单位，给予最高20万元的资助；对培育验收通过、被认定为国家级知识产权保护规范化市场的单位，给予最高40万元的资助。</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（四）对认定为上海市知识产权示范园区、上海市知识产权试点园区的单位，根据上海市知识产权局扶持资金给予 1:1配套</w:t>
      </w:r>
      <w:r>
        <w:rPr>
          <w:rStyle w:val="22"/>
          <w:color w:val="auto"/>
        </w:rPr>
        <w:t>资助</w:t>
      </w:r>
      <w:r>
        <w:rPr>
          <w:rStyle w:val="22"/>
          <w:rFonts w:hint="default"/>
          <w:color w:val="auto"/>
        </w:rPr>
        <w:t>。</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（五）对认定为松江区专利工作示范企业的单位，给予最高20万元的资助；对认定为松江区专利工作试点企业的单位，给予最高10万元的资助；对认定为松江区知识产权试点园区的单位，给予最高10万元的资助。</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w:t>
      </w:r>
      <w:r>
        <w:rPr>
          <w:rStyle w:val="22"/>
          <w:color w:val="auto"/>
        </w:rPr>
        <w:t>六</w:t>
      </w:r>
      <w:r>
        <w:rPr>
          <w:rStyle w:val="22"/>
          <w:rFonts w:hint="default"/>
          <w:color w:val="auto"/>
        </w:rPr>
        <w:t>）对贯彻《企业知识产权管理规范》标准化建设，并通过相关认证机构审核的单位，按实际发生费用90%给予补贴，最高不超过5万元。</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w:t>
      </w:r>
      <w:r>
        <w:rPr>
          <w:rStyle w:val="22"/>
          <w:color w:val="auto"/>
        </w:rPr>
        <w:t>七</w:t>
      </w:r>
      <w:r>
        <w:rPr>
          <w:rStyle w:val="22"/>
          <w:rFonts w:hint="default"/>
          <w:color w:val="auto"/>
        </w:rPr>
        <w:t>）对开展专利导航、知识产权评议等知识产权信息分析项目的单位，经区知识产权主管部门审核后，对项目开展所发生的实际费用给予50%资助， 同一企业每年资助不超过20万元。</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w:t>
      </w:r>
      <w:r>
        <w:rPr>
          <w:rStyle w:val="22"/>
          <w:color w:val="auto"/>
        </w:rPr>
        <w:t>八</w:t>
      </w:r>
      <w:r>
        <w:rPr>
          <w:rStyle w:val="22"/>
          <w:rFonts w:hint="default"/>
          <w:color w:val="auto"/>
        </w:rPr>
        <w:t>）鼓励保险机构开发符合本区实际的知识产权保险品种，对购买专利保险、商标保险等知识产权保险产品的企业，按实际发生保费给予50%、不超过20万元的资助。</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w:t>
      </w:r>
      <w:r>
        <w:rPr>
          <w:rStyle w:val="22"/>
          <w:color w:val="auto"/>
        </w:rPr>
        <w:t>九</w:t>
      </w:r>
      <w:r>
        <w:rPr>
          <w:rStyle w:val="22"/>
          <w:rFonts w:hint="default"/>
          <w:color w:val="auto"/>
        </w:rPr>
        <w:t>）对以知识产权融资获得金融机构贷款的企业，按央行同期贷款基准利率给予</w:t>
      </w:r>
      <w:r>
        <w:rPr>
          <w:rStyle w:val="22"/>
          <w:color w:val="auto"/>
        </w:rPr>
        <w:t>最高</w:t>
      </w:r>
      <w:r>
        <w:rPr>
          <w:rStyle w:val="22"/>
          <w:rFonts w:hint="default"/>
          <w:color w:val="auto"/>
        </w:rPr>
        <w:t>50%的利息补贴，最高不超过20万元。</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color w:val="auto"/>
          <w:sz w:val="32"/>
          <w:szCs w:val="32"/>
        </w:rPr>
      </w:pPr>
      <w:r>
        <w:rPr>
          <w:rStyle w:val="22"/>
          <w:rFonts w:hint="default"/>
          <w:color w:val="auto"/>
        </w:rPr>
        <w:t>（十）</w:t>
      </w:r>
      <w:r>
        <w:rPr>
          <w:rFonts w:hint="eastAsia" w:ascii="仿宋_GB2312" w:hAnsi="仿宋_GB2312" w:eastAsia="仿宋_GB2312" w:cs="仿宋_GB2312"/>
          <w:color w:val="auto"/>
          <w:sz w:val="32"/>
          <w:szCs w:val="32"/>
        </w:rPr>
        <w:t>对经国家知识产权主管部门新认定的技术与创新支持中心（TISC）、高校国家知识产权信息服务中心，给予每家一次性不超过2</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万元资金资助。对经国家知识产权主管部门新备案的国家级知识产权信息公共服务网点，给予每家一次性不超过</w:t>
      </w:r>
      <w:r>
        <w:rPr>
          <w:rFonts w:hint="eastAsia" w:ascii="仿宋_GB2312" w:hAnsi="仿宋_GB2312" w:eastAsia="仿宋_GB2312" w:cs="仿宋_GB2312"/>
          <w:color w:val="auto"/>
          <w:sz w:val="32"/>
          <w:szCs w:val="32"/>
          <w:lang w:val="en-US" w:eastAsia="zh-CN"/>
        </w:rPr>
        <w:t>15</w:t>
      </w:r>
      <w:r>
        <w:rPr>
          <w:rFonts w:hint="eastAsia" w:ascii="仿宋_GB2312" w:hAnsi="仿宋_GB2312" w:eastAsia="仿宋_GB2312" w:cs="仿宋_GB2312"/>
          <w:color w:val="auto"/>
          <w:sz w:val="32"/>
          <w:szCs w:val="32"/>
        </w:rPr>
        <w:t>万元资金资助。对经市知识产权主管部门新认定的市级知识产权信息公共服务网点，给予每家一次性不超过</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万元资金资助。</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color w:val="auto"/>
          <w:sz w:val="32"/>
          <w:szCs w:val="32"/>
        </w:rPr>
      </w:pPr>
      <w:r>
        <w:rPr>
          <w:rStyle w:val="22"/>
          <w:rFonts w:hint="default"/>
          <w:color w:val="auto"/>
        </w:rPr>
        <w:t>（十</w:t>
      </w:r>
      <w:r>
        <w:rPr>
          <w:rStyle w:val="22"/>
          <w:rFonts w:hint="eastAsia" w:eastAsia="仿宋_GB2312"/>
          <w:color w:val="auto"/>
          <w:lang w:eastAsia="zh-CN"/>
        </w:rPr>
        <w:t>一</w:t>
      </w:r>
      <w:r>
        <w:rPr>
          <w:rStyle w:val="22"/>
          <w:rFonts w:hint="default"/>
          <w:color w:val="auto"/>
        </w:rPr>
        <w:t>）</w:t>
      </w:r>
      <w:r>
        <w:rPr>
          <w:rFonts w:hint="eastAsia" w:ascii="仿宋_GB2312" w:hAnsi="仿宋_GB2312" w:eastAsia="仿宋_GB2312" w:cs="仿宋_GB2312"/>
          <w:color w:val="auto"/>
          <w:sz w:val="32"/>
          <w:szCs w:val="32"/>
        </w:rPr>
        <w:t>对经国家知识产权主管部门认定的中国驰名商标和经市知识产权主管部门纳入《上海市重点商标保护名录》商标的国内维权保护项目，维权成功后经评定分别给予一次性不超过</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万元和</w:t>
      </w:r>
      <w:r>
        <w:rPr>
          <w:rFonts w:hint="eastAsia" w:ascii="仿宋_GB2312" w:hAnsi="仿宋_GB2312" w:eastAsia="仿宋_GB2312" w:cs="仿宋_GB2312"/>
          <w:color w:val="auto"/>
          <w:sz w:val="32"/>
          <w:szCs w:val="32"/>
          <w:lang w:val="en-US" w:eastAsia="zh-CN"/>
        </w:rPr>
        <w:t>1</w:t>
      </w:r>
      <w:r>
        <w:rPr>
          <w:rFonts w:ascii="仿宋_GB2312" w:hAnsi="仿宋_GB2312" w:eastAsia="仿宋_GB2312" w:cs="仿宋_GB2312"/>
          <w:color w:val="auto"/>
          <w:sz w:val="32"/>
          <w:szCs w:val="32"/>
        </w:rPr>
        <w:t>0</w:t>
      </w:r>
      <w:r>
        <w:rPr>
          <w:rFonts w:hint="eastAsia" w:ascii="仿宋_GB2312" w:hAnsi="仿宋_GB2312" w:eastAsia="仿宋_GB2312" w:cs="仿宋_GB2312"/>
          <w:color w:val="auto"/>
          <w:sz w:val="32"/>
          <w:szCs w:val="32"/>
        </w:rPr>
        <w:t>万元资金资助。</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Style w:val="22"/>
          <w:rFonts w:hint="default"/>
          <w:color w:val="auto"/>
        </w:rPr>
      </w:pPr>
      <w:r>
        <w:rPr>
          <w:rStyle w:val="22"/>
          <w:rFonts w:hint="default"/>
          <w:color w:val="auto"/>
        </w:rPr>
        <w:t>（十</w:t>
      </w:r>
      <w:r>
        <w:rPr>
          <w:rStyle w:val="22"/>
          <w:rFonts w:hint="eastAsia" w:eastAsia="仿宋_GB2312"/>
          <w:color w:val="auto"/>
          <w:lang w:eastAsia="zh-CN"/>
        </w:rPr>
        <w:t>二</w:t>
      </w:r>
      <w:r>
        <w:rPr>
          <w:rStyle w:val="22"/>
          <w:rFonts w:hint="eastAsia" w:eastAsia="仿宋_GB2312"/>
          <w:color w:val="auto"/>
          <w:lang w:val="en-US" w:eastAsia="zh-CN"/>
        </w:rPr>
        <w:t xml:space="preserve"> </w:t>
      </w:r>
      <w:r>
        <w:rPr>
          <w:rStyle w:val="22"/>
          <w:rFonts w:hint="default"/>
          <w:color w:val="auto"/>
        </w:rPr>
        <w:t>）</w:t>
      </w:r>
      <w:r>
        <w:rPr>
          <w:rFonts w:hint="eastAsia" w:ascii="仿宋_GB2312" w:hAnsi="仿宋_GB2312" w:eastAsia="仿宋_GB2312" w:cs="仿宋_GB2312"/>
          <w:color w:val="auto"/>
          <w:sz w:val="32"/>
          <w:szCs w:val="32"/>
        </w:rPr>
        <w:t>对本</w:t>
      </w:r>
      <w:r>
        <w:rPr>
          <w:rFonts w:hint="eastAsia" w:ascii="仿宋_GB2312" w:hAnsi="仿宋_GB2312" w:eastAsia="仿宋_GB2312" w:cs="仿宋_GB2312"/>
          <w:color w:val="auto"/>
          <w:sz w:val="32"/>
          <w:szCs w:val="32"/>
          <w:lang w:val="en-US" w:eastAsia="zh-CN"/>
        </w:rPr>
        <w:t>区</w:t>
      </w:r>
      <w:r>
        <w:rPr>
          <w:rFonts w:hint="eastAsia" w:ascii="仿宋_GB2312" w:hAnsi="仿宋_GB2312" w:eastAsia="仿宋_GB2312" w:cs="仿宋_GB2312"/>
          <w:color w:val="auto"/>
          <w:sz w:val="32"/>
          <w:szCs w:val="32"/>
        </w:rPr>
        <w:t>战略性新兴产业和先导产业高价值专利的国内维权保护项目，维权成功后经评定给予一次性不超过20万元资金资助。</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color w:val="auto"/>
          <w:sz w:val="32"/>
          <w:szCs w:val="32"/>
        </w:rPr>
      </w:pPr>
      <w:r>
        <w:rPr>
          <w:rStyle w:val="22"/>
          <w:rFonts w:hint="default"/>
          <w:color w:val="auto"/>
        </w:rPr>
        <w:t>（十</w:t>
      </w:r>
      <w:r>
        <w:rPr>
          <w:rStyle w:val="22"/>
          <w:rFonts w:hint="eastAsia" w:eastAsia="仿宋_GB2312"/>
          <w:color w:val="auto"/>
          <w:lang w:eastAsia="zh-CN"/>
        </w:rPr>
        <w:t>三</w:t>
      </w:r>
      <w:r>
        <w:rPr>
          <w:rStyle w:val="22"/>
          <w:rFonts w:hint="default"/>
          <w:color w:val="auto"/>
        </w:rPr>
        <w:t>）对企业在境外开展知识产权诉讼维权的，</w:t>
      </w:r>
      <w:r>
        <w:rPr>
          <w:rStyle w:val="22"/>
          <w:rFonts w:hint="eastAsia" w:eastAsia="仿宋_GB2312"/>
          <w:color w:val="auto"/>
          <w:lang w:eastAsia="zh-CN"/>
        </w:rPr>
        <w:t>维权成功后经评定</w:t>
      </w:r>
      <w:r>
        <w:rPr>
          <w:rStyle w:val="22"/>
          <w:rFonts w:hint="default"/>
          <w:color w:val="auto"/>
        </w:rPr>
        <w:t>按实际发生费用给予50%，最高不超过50万元的资助。</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eastAsia="仿宋_GB2312"/>
          <w:color w:val="auto"/>
          <w:lang w:val="en-US" w:eastAsia="zh-CN"/>
        </w:rPr>
      </w:pPr>
      <w:r>
        <w:rPr>
          <w:rStyle w:val="22"/>
          <w:rFonts w:hint="default"/>
          <w:color w:val="auto"/>
        </w:rPr>
        <w:t>（十</w:t>
      </w:r>
      <w:r>
        <w:rPr>
          <w:rStyle w:val="22"/>
          <w:rFonts w:hint="eastAsia" w:eastAsia="仿宋_GB2312"/>
          <w:color w:val="auto"/>
          <w:lang w:eastAsia="zh-CN"/>
        </w:rPr>
        <w:t>四</w:t>
      </w:r>
      <w:r>
        <w:rPr>
          <w:rStyle w:val="22"/>
          <w:rFonts w:hint="default"/>
          <w:color w:val="auto"/>
        </w:rPr>
        <w:t>）</w:t>
      </w:r>
      <w:r>
        <w:rPr>
          <w:rStyle w:val="22"/>
          <w:rFonts w:hint="eastAsia" w:eastAsia="仿宋_GB2312"/>
          <w:color w:val="auto"/>
          <w:lang w:eastAsia="zh-CN"/>
        </w:rPr>
        <w:t>对经国家知识产权主管部门批准创建和新认定的地理标志产品示范区，分别给予不超过</w:t>
      </w:r>
      <w:r>
        <w:rPr>
          <w:rStyle w:val="22"/>
          <w:rFonts w:hint="eastAsia" w:eastAsia="仿宋_GB2312"/>
          <w:color w:val="auto"/>
          <w:lang w:val="en-US" w:eastAsia="zh-CN"/>
        </w:rPr>
        <w:t>10万元和20万元资金资助。</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eastAsia="仿宋_GB2312"/>
          <w:color w:val="auto"/>
          <w:lang w:eastAsia="zh-CN"/>
        </w:rPr>
        <w:t>（十</w:t>
      </w:r>
      <w:r>
        <w:rPr>
          <w:rStyle w:val="22"/>
          <w:rFonts w:hint="eastAsia" w:eastAsia="仿宋_GB2312"/>
          <w:color w:val="auto"/>
          <w:lang w:eastAsia="zh-CN"/>
        </w:rPr>
        <w:t>五</w:t>
      </w:r>
      <w:r>
        <w:rPr>
          <w:rStyle w:val="22"/>
          <w:rFonts w:hint="default" w:eastAsia="仿宋_GB2312"/>
          <w:color w:val="auto"/>
          <w:lang w:eastAsia="zh-CN"/>
        </w:rPr>
        <w:t>）</w:t>
      </w:r>
      <w:r>
        <w:rPr>
          <w:rStyle w:val="22"/>
          <w:rFonts w:hint="eastAsia" w:eastAsia="仿宋_GB2312"/>
          <w:color w:val="auto"/>
          <w:lang w:eastAsia="zh-CN"/>
        </w:rPr>
        <w:t>对本区知识产权纠纷专业调解组织、行业调解组织、律师调解组织等开展公益性纠纷调解工作，经评定给予不超过5万元的资金资助。</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Style w:val="22"/>
          <w:rFonts w:hint="default" w:hAnsi="黑体"/>
          <w:b/>
          <w:color w:val="auto"/>
        </w:rPr>
      </w:pPr>
      <w:r>
        <w:rPr>
          <w:rStyle w:val="22"/>
          <w:rFonts w:hint="default" w:hAnsi="黑体"/>
          <w:b/>
          <w:color w:val="auto"/>
        </w:rPr>
        <w:t>第九条（支持质量基础设施建设）</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（一）对主导制定国际标准、国家标准、行业标准及地方标准的单位，分别给予</w:t>
      </w:r>
      <w:r>
        <w:rPr>
          <w:rStyle w:val="22"/>
          <w:color w:val="auto"/>
        </w:rPr>
        <w:t>最高</w:t>
      </w:r>
      <w:r>
        <w:rPr>
          <w:rStyle w:val="22"/>
          <w:rFonts w:hint="default"/>
          <w:color w:val="auto"/>
        </w:rPr>
        <w:t>100万元、30万元、10万元、10万元</w:t>
      </w:r>
      <w:r>
        <w:rPr>
          <w:rStyle w:val="22"/>
          <w:color w:val="auto"/>
        </w:rPr>
        <w:t>的资助</w:t>
      </w:r>
      <w:r>
        <w:rPr>
          <w:rStyle w:val="22"/>
          <w:rFonts w:hint="default"/>
          <w:color w:val="auto"/>
        </w:rPr>
        <w:t>；</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对参与制定国际标准、国家标准、行业标准及地方标准的单位，分别给予</w:t>
      </w:r>
      <w:r>
        <w:rPr>
          <w:rStyle w:val="22"/>
          <w:color w:val="auto"/>
        </w:rPr>
        <w:t>最高</w:t>
      </w:r>
      <w:r>
        <w:rPr>
          <w:rStyle w:val="22"/>
          <w:rFonts w:hint="default"/>
          <w:color w:val="auto"/>
        </w:rPr>
        <w:t>60万元、20万元、5万元、5万元</w:t>
      </w:r>
      <w:r>
        <w:rPr>
          <w:rStyle w:val="22"/>
          <w:color w:val="auto"/>
        </w:rPr>
        <w:t>的资助</w:t>
      </w:r>
      <w:r>
        <w:rPr>
          <w:rStyle w:val="22"/>
          <w:rFonts w:hint="default"/>
          <w:color w:val="auto"/>
        </w:rPr>
        <w:t>；</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对修订国际标准、国家标准、行业标准及地方标准的单位，分别给予</w:t>
      </w:r>
      <w:r>
        <w:rPr>
          <w:rStyle w:val="22"/>
          <w:color w:val="auto"/>
        </w:rPr>
        <w:t>最高</w:t>
      </w:r>
      <w:r>
        <w:rPr>
          <w:rStyle w:val="22"/>
          <w:rFonts w:hint="default"/>
          <w:color w:val="auto"/>
        </w:rPr>
        <w:t>20万元、10万元、2万元、2万元</w:t>
      </w:r>
      <w:r>
        <w:rPr>
          <w:rStyle w:val="22"/>
          <w:color w:val="auto"/>
        </w:rPr>
        <w:t>的资助</w:t>
      </w:r>
      <w:r>
        <w:rPr>
          <w:rStyle w:val="22"/>
          <w:rFonts w:hint="default"/>
          <w:color w:val="auto"/>
        </w:rPr>
        <w:t>；</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对由本市社会团体发布的、被市区两级政府部门采信的团体标准主导制定单位给予</w:t>
      </w:r>
      <w:r>
        <w:rPr>
          <w:rStyle w:val="22"/>
          <w:color w:val="auto"/>
        </w:rPr>
        <w:t>最高</w:t>
      </w:r>
      <w:r>
        <w:rPr>
          <w:rStyle w:val="22"/>
          <w:rFonts w:hint="default"/>
          <w:color w:val="auto"/>
        </w:rPr>
        <w:t>15万元</w:t>
      </w:r>
      <w:r>
        <w:rPr>
          <w:rStyle w:val="22"/>
          <w:color w:val="auto"/>
        </w:rPr>
        <w:t>的资助；</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同一单位</w:t>
      </w:r>
      <w:r>
        <w:rPr>
          <w:rStyle w:val="22"/>
          <w:color w:val="auto"/>
        </w:rPr>
        <w:t>同</w:t>
      </w:r>
      <w:r>
        <w:rPr>
          <w:rStyle w:val="22"/>
          <w:rFonts w:hint="default"/>
          <w:color w:val="auto"/>
        </w:rPr>
        <w:t>一年</w:t>
      </w:r>
      <w:r>
        <w:rPr>
          <w:rStyle w:val="22"/>
          <w:color w:val="auto"/>
        </w:rPr>
        <w:t>度</w:t>
      </w:r>
      <w:r>
        <w:rPr>
          <w:rStyle w:val="22"/>
          <w:rFonts w:hint="default"/>
          <w:color w:val="auto"/>
        </w:rPr>
        <w:t>有多个标准制修订项目符合资助条件的，根据从优不重复原则</w:t>
      </w:r>
      <w:r>
        <w:rPr>
          <w:rStyle w:val="22"/>
          <w:color w:val="auto"/>
        </w:rPr>
        <w:t>给予资助。</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（二）对通过国家级、市级标准化示范（试点）项目验收的单位分别给予一次性资助30万元、10万元。</w:t>
      </w:r>
      <w:r>
        <w:rPr>
          <w:rStyle w:val="22"/>
          <w:rFonts w:hint="default"/>
          <w:color w:val="auto"/>
        </w:rPr>
        <w:br w:type="textWrapping"/>
      </w:r>
      <w:r>
        <w:rPr>
          <w:rStyle w:val="22"/>
          <w:rFonts w:hint="default"/>
          <w:color w:val="auto"/>
        </w:rPr>
        <w:t xml:space="preserve">    （三）对承担国际专业标准化技术委员会（TC）秘书处、分技术委员会(SC)秘书处和工作组（WG）的单位分别给予一次性资助100万元、60万元、30万元；</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对承担全国专业标准化技术委员会（TC）秘书处、分技术委员会(SC)秘书处和工作组（WG）的单位分别给予一次性资助50万元、30万元、20万元；</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对承担上海市标准化技术委员会（TC）秘书处的单位给予一次性资助20万元。</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（四）对通过测量管理体系首次认证审核的单位</w:t>
      </w:r>
      <w:r>
        <w:rPr>
          <w:rStyle w:val="22"/>
          <w:color w:val="auto"/>
        </w:rPr>
        <w:t>，</w:t>
      </w:r>
      <w:r>
        <w:rPr>
          <w:rStyle w:val="22"/>
          <w:rFonts w:hint="default"/>
          <w:color w:val="auto"/>
        </w:rPr>
        <w:t>按实际发生费用90%给予补贴，最高不超过5万元。</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（五）支持</w:t>
      </w:r>
      <w:r>
        <w:rPr>
          <w:rStyle w:val="22"/>
          <w:rFonts w:ascii="CESI仿宋-GB2312" w:hAnsi="CESI仿宋-GB2312" w:eastAsia="CESI仿宋-GB2312" w:cs="CESI仿宋-GB2312"/>
          <w:color w:val="auto"/>
        </w:rPr>
        <w:t>“</w:t>
      </w:r>
      <w:r>
        <w:rPr>
          <w:rStyle w:val="22"/>
          <w:rFonts w:hint="default"/>
          <w:color w:val="auto"/>
        </w:rPr>
        <w:t>质量基础设施</w:t>
      </w:r>
      <w:r>
        <w:rPr>
          <w:rStyle w:val="22"/>
          <w:color w:val="auto"/>
        </w:rPr>
        <w:t>‘</w:t>
      </w:r>
      <w:r>
        <w:rPr>
          <w:rStyle w:val="22"/>
          <w:rFonts w:hint="default"/>
          <w:color w:val="auto"/>
        </w:rPr>
        <w:t>一站式</w:t>
      </w:r>
      <w:r>
        <w:rPr>
          <w:rStyle w:val="22"/>
          <w:color w:val="auto"/>
        </w:rPr>
        <w:t>’</w:t>
      </w:r>
      <w:r>
        <w:rPr>
          <w:rStyle w:val="22"/>
          <w:rFonts w:hint="default"/>
          <w:color w:val="auto"/>
        </w:rPr>
        <w:t>服务试点</w:t>
      </w:r>
      <w:r>
        <w:rPr>
          <w:rStyle w:val="22"/>
          <w:rFonts w:ascii="CESI仿宋-GB2312" w:hAnsi="CESI仿宋-GB2312" w:eastAsia="CESI仿宋-GB2312" w:cs="CESI仿宋-GB2312"/>
          <w:color w:val="auto"/>
        </w:rPr>
        <w:t>”</w:t>
      </w:r>
      <w:r>
        <w:rPr>
          <w:rStyle w:val="22"/>
          <w:rFonts w:hint="default"/>
          <w:color w:val="auto"/>
        </w:rPr>
        <w:t>建设，对获评国家级、市级试点的单位给予</w:t>
      </w:r>
      <w:r>
        <w:rPr>
          <w:rStyle w:val="22"/>
          <w:color w:val="auto"/>
        </w:rPr>
        <w:t>最高100</w:t>
      </w:r>
      <w:r>
        <w:rPr>
          <w:rStyle w:val="22"/>
          <w:rFonts w:hint="default"/>
          <w:color w:val="auto"/>
        </w:rPr>
        <w:t>万元、</w:t>
      </w:r>
      <w:r>
        <w:rPr>
          <w:rStyle w:val="22"/>
          <w:color w:val="auto"/>
        </w:rPr>
        <w:t>30</w:t>
      </w:r>
      <w:r>
        <w:rPr>
          <w:rStyle w:val="22"/>
          <w:rFonts w:hint="default"/>
          <w:color w:val="auto"/>
        </w:rPr>
        <w:t>万元</w:t>
      </w:r>
      <w:r>
        <w:rPr>
          <w:rStyle w:val="22"/>
          <w:color w:val="auto"/>
        </w:rPr>
        <w:t>的资助</w:t>
      </w:r>
      <w:r>
        <w:rPr>
          <w:rStyle w:val="22"/>
          <w:rFonts w:hint="default"/>
          <w:color w:val="auto"/>
        </w:rPr>
        <w:t>。</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hAnsi="黑体"/>
          <w:b/>
          <w:color w:val="auto"/>
        </w:rPr>
      </w:pPr>
      <w:r>
        <w:rPr>
          <w:rStyle w:val="22"/>
          <w:rFonts w:hint="default" w:ascii="黑体" w:hAnsi="黑体" w:eastAsia="黑体"/>
          <w:color w:val="auto"/>
        </w:rPr>
        <w:t xml:space="preserve"> </w:t>
      </w:r>
      <w:r>
        <w:rPr>
          <w:rStyle w:val="22"/>
          <w:rFonts w:hint="default" w:hAnsi="黑体"/>
          <w:b/>
          <w:color w:val="auto"/>
        </w:rPr>
        <w:t>第十条（支持专业服务机构发展）</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在松江</w:t>
      </w:r>
      <w:r>
        <w:rPr>
          <w:rStyle w:val="22"/>
          <w:color w:val="auto"/>
        </w:rPr>
        <w:t>获批“国家市场监管重点实验室”、“国家市场监管技术创新中心”、“国家产品质量检验检测中心”</w:t>
      </w:r>
      <w:r>
        <w:rPr>
          <w:rStyle w:val="22"/>
          <w:rFonts w:hint="default"/>
          <w:color w:val="auto"/>
        </w:rPr>
        <w:t>的检验检测机构，给予</w:t>
      </w:r>
      <w:r>
        <w:rPr>
          <w:rStyle w:val="22"/>
          <w:color w:val="auto"/>
        </w:rPr>
        <w:t>不超过100</w:t>
      </w:r>
      <w:r>
        <w:rPr>
          <w:rStyle w:val="22"/>
          <w:rFonts w:hint="default"/>
          <w:color w:val="auto"/>
        </w:rPr>
        <w:t>万元</w:t>
      </w:r>
      <w:r>
        <w:rPr>
          <w:rStyle w:val="22"/>
          <w:color w:val="auto"/>
        </w:rPr>
        <w:t>的一次性奖励</w:t>
      </w:r>
      <w:r>
        <w:rPr>
          <w:rStyle w:val="22"/>
          <w:rFonts w:hint="default"/>
          <w:color w:val="auto"/>
        </w:rPr>
        <w:t>；在松江首次通过CNAS认可的检验检测机构（取得资质许可）</w:t>
      </w:r>
      <w:r>
        <w:rPr>
          <w:rStyle w:val="22"/>
          <w:color w:val="auto"/>
        </w:rPr>
        <w:t>和</w:t>
      </w:r>
      <w:r>
        <w:rPr>
          <w:rStyle w:val="22"/>
          <w:rFonts w:hint="default"/>
          <w:color w:val="auto"/>
        </w:rPr>
        <w:t>认证机构（取得批准书），给予10万元的一次性</w:t>
      </w:r>
      <w:r>
        <w:rPr>
          <w:rStyle w:val="22"/>
          <w:color w:val="auto"/>
        </w:rPr>
        <w:t>奖励</w:t>
      </w:r>
      <w:r>
        <w:rPr>
          <w:rStyle w:val="22"/>
          <w:rFonts w:hint="default"/>
          <w:color w:val="auto"/>
        </w:rPr>
        <w:t>，复评通过的，给予5万元的一次性</w:t>
      </w:r>
      <w:r>
        <w:rPr>
          <w:rStyle w:val="22"/>
          <w:color w:val="auto"/>
        </w:rPr>
        <w:t>奖励</w:t>
      </w:r>
      <w:r>
        <w:rPr>
          <w:rStyle w:val="22"/>
          <w:rFonts w:hint="default"/>
          <w:color w:val="auto"/>
        </w:rPr>
        <w:t>；已获得上述认定的区外企业迁入本区参照以上标准执行。</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color w:val="auto"/>
        </w:rPr>
        <w:t>对获批国家级、市级“产业计量测试中心”的单位，分别给予最高100万元、30万元的一次性奖励。</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b/>
          <w:color w:val="auto"/>
        </w:rPr>
      </w:pPr>
      <w:r>
        <w:rPr>
          <w:rStyle w:val="22"/>
          <w:color w:val="auto"/>
        </w:rPr>
        <w:t>（三）新注册的或区外迁入的检验检测认证机构，年营业收入首次达到1000万元以上的，给予最高50万元的一次性奖励。</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w:t>
      </w:r>
      <w:r>
        <w:rPr>
          <w:rStyle w:val="22"/>
          <w:color w:val="auto"/>
        </w:rPr>
        <w:t>四</w:t>
      </w:r>
      <w:r>
        <w:rPr>
          <w:rStyle w:val="22"/>
          <w:rFonts w:hint="default"/>
          <w:color w:val="auto"/>
        </w:rPr>
        <w:t>）注册且在本区办公的专利</w:t>
      </w:r>
      <w:r>
        <w:rPr>
          <w:rStyle w:val="22"/>
          <w:color w:val="auto"/>
        </w:rPr>
        <w:t>、标准化</w:t>
      </w:r>
      <w:r>
        <w:rPr>
          <w:rStyle w:val="22"/>
          <w:rFonts w:hint="default"/>
          <w:color w:val="auto"/>
        </w:rPr>
        <w:t>服务机构，符合相关条件，给予</w:t>
      </w:r>
      <w:r>
        <w:rPr>
          <w:rStyle w:val="22"/>
          <w:color w:val="auto"/>
        </w:rPr>
        <w:t>最高</w:t>
      </w:r>
      <w:r>
        <w:rPr>
          <w:rStyle w:val="22"/>
          <w:rFonts w:hint="default"/>
          <w:color w:val="auto"/>
        </w:rPr>
        <w:t>10万元</w:t>
      </w:r>
      <w:r>
        <w:rPr>
          <w:rStyle w:val="22"/>
          <w:color w:val="auto"/>
        </w:rPr>
        <w:t>的一次性资助</w:t>
      </w:r>
      <w:r>
        <w:rPr>
          <w:rStyle w:val="22"/>
          <w:rFonts w:hint="default"/>
          <w:color w:val="auto"/>
        </w:rPr>
        <w:t>。</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Style w:val="22"/>
          <w:rFonts w:hint="default" w:ascii="黑体" w:hAnsi="黑体" w:eastAsia="黑体"/>
          <w:color w:val="auto"/>
        </w:rPr>
      </w:pPr>
      <w:r>
        <w:rPr>
          <w:rStyle w:val="22"/>
          <w:rFonts w:hint="default" w:ascii="黑体" w:hAnsi="黑体" w:eastAsia="黑体"/>
          <w:color w:val="auto"/>
        </w:rPr>
        <w:t>第三章 附则</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Fonts w:ascii="仿宋_GB2312" w:eastAsia="仿宋_GB2312"/>
          <w:b/>
          <w:color w:val="auto"/>
          <w:sz w:val="32"/>
          <w:szCs w:val="32"/>
        </w:rPr>
      </w:pPr>
      <w:r>
        <w:rPr>
          <w:rFonts w:hint="eastAsia" w:ascii="仿宋_GB2312" w:eastAsia="仿宋_GB2312"/>
          <w:b/>
          <w:color w:val="auto"/>
          <w:sz w:val="32"/>
          <w:szCs w:val="32"/>
        </w:rPr>
        <w:t>第十一条（资金用途）</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_GB2312" w:eastAsia="仿宋_GB2312"/>
          <w:color w:val="auto"/>
          <w:sz w:val="32"/>
          <w:szCs w:val="32"/>
        </w:rPr>
      </w:pPr>
      <w:r>
        <w:rPr>
          <w:rFonts w:hint="eastAsia" w:ascii="仿宋_GB2312" w:eastAsia="仿宋_GB2312"/>
          <w:color w:val="auto"/>
          <w:sz w:val="32"/>
          <w:szCs w:val="32"/>
        </w:rPr>
        <w:t>专项资金应用于相关单位后续品牌建设，质量改进，计量、标准、检验检测等能力提升，知识产权创造保护运用，人员专业培训等相关工作的开展。</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Fonts w:ascii="仿宋_GB2312" w:eastAsia="仿宋_GB2312"/>
          <w:b/>
          <w:color w:val="auto"/>
          <w:sz w:val="32"/>
          <w:szCs w:val="32"/>
        </w:rPr>
      </w:pPr>
      <w:r>
        <w:rPr>
          <w:rFonts w:hint="eastAsia" w:ascii="仿宋_GB2312" w:eastAsia="仿宋_GB2312"/>
          <w:b/>
          <w:color w:val="auto"/>
          <w:sz w:val="32"/>
          <w:szCs w:val="32"/>
        </w:rPr>
        <w:t>第十二条 （材料真实性）</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_GB2312" w:eastAsia="仿宋_GB2312"/>
          <w:color w:val="auto"/>
          <w:sz w:val="32"/>
          <w:szCs w:val="32"/>
        </w:rPr>
      </w:pPr>
      <w:r>
        <w:rPr>
          <w:rFonts w:hint="eastAsia" w:ascii="仿宋_GB2312" w:eastAsia="仿宋_GB2312"/>
          <w:color w:val="auto"/>
          <w:sz w:val="32"/>
          <w:szCs w:val="32"/>
        </w:rPr>
        <w:t>申报单位如通过弄虚作假等不正当手段骗取专项资金，一经查实，将取消一切资助资格，追缴资金，并依照相关法律法规追究责任。</w:t>
      </w:r>
    </w:p>
    <w:p>
      <w:pPr>
        <w:keepNext w:val="0"/>
        <w:keepLines w:val="0"/>
        <w:pageBreakBefore w:val="0"/>
        <w:widowControl w:val="0"/>
        <w:kinsoku/>
        <w:wordWrap/>
        <w:overflowPunct/>
        <w:topLinePunct w:val="0"/>
        <w:autoSpaceDE/>
        <w:autoSpaceDN/>
        <w:bidi w:val="0"/>
        <w:adjustRightInd/>
        <w:snapToGrid w:val="0"/>
        <w:spacing w:line="560" w:lineRule="exact"/>
        <w:ind w:firstLine="803" w:firstLineChars="250"/>
        <w:textAlignment w:val="auto"/>
        <w:rPr>
          <w:rStyle w:val="22"/>
          <w:rFonts w:hint="default"/>
          <w:b/>
          <w:color w:val="auto"/>
        </w:rPr>
      </w:pPr>
      <w:r>
        <w:rPr>
          <w:rStyle w:val="22"/>
          <w:rFonts w:hint="default"/>
          <w:b/>
          <w:color w:val="auto"/>
        </w:rPr>
        <w:t>第十三条（其他）</w:t>
      </w:r>
    </w:p>
    <w:p>
      <w:pPr>
        <w:keepNext w:val="0"/>
        <w:keepLines w:val="0"/>
        <w:pageBreakBefore w:val="0"/>
        <w:widowControl w:val="0"/>
        <w:numPr>
          <w:ilvl w:val="0"/>
          <w:numId w:val="2"/>
        </w:numPr>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本办法施行过程中，如遇上级政策调整，以上级政策为准。</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color w:val="auto"/>
        </w:rPr>
        <w:t>（二）</w:t>
      </w:r>
      <w:r>
        <w:rPr>
          <w:rStyle w:val="22"/>
          <w:rFonts w:hint="default"/>
          <w:color w:val="auto"/>
        </w:rPr>
        <w:t>在满足上述政策支持条件的同时，同一单位不得因同一事项重复享受</w:t>
      </w:r>
      <w:r>
        <w:rPr>
          <w:rStyle w:val="22"/>
          <w:color w:val="auto"/>
        </w:rPr>
        <w:t>本区其他资助</w:t>
      </w:r>
      <w:r>
        <w:rPr>
          <w:rStyle w:val="22"/>
          <w:rFonts w:hint="default"/>
          <w:color w:val="auto"/>
        </w:rPr>
        <w:t>政策，若符合本区其他政策，按照就高原则给予支持。</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color w:val="auto"/>
        </w:rPr>
        <w:t>（三）单位享受专项资金政策金额应考虑其对地方的综合经济社会贡献。对地方经济社会发展作出重大贡献的产业项目给予优先支持。</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Style w:val="22"/>
          <w:rFonts w:hint="default"/>
          <w:b/>
          <w:color w:val="auto"/>
        </w:rPr>
      </w:pPr>
      <w:r>
        <w:rPr>
          <w:rStyle w:val="22"/>
          <w:rFonts w:hint="default"/>
          <w:b/>
          <w:color w:val="auto"/>
        </w:rPr>
        <w:t>第十四条（应用解释）</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本办法由区市场监管局负责解释。</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Style w:val="22"/>
          <w:rFonts w:hint="default"/>
          <w:b/>
          <w:color w:val="auto"/>
        </w:rPr>
      </w:pPr>
      <w:r>
        <w:rPr>
          <w:rStyle w:val="22"/>
          <w:rFonts w:hint="default"/>
          <w:b/>
          <w:color w:val="auto"/>
        </w:rPr>
        <w:t>第十五条（实施日期）</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Style w:val="22"/>
          <w:rFonts w:hint="default"/>
          <w:color w:val="auto"/>
        </w:rPr>
      </w:pPr>
      <w:r>
        <w:rPr>
          <w:rStyle w:val="22"/>
          <w:rFonts w:hint="default"/>
          <w:color w:val="auto"/>
        </w:rPr>
        <w:t>本办法自202</w:t>
      </w:r>
      <w:r>
        <w:rPr>
          <w:rStyle w:val="22"/>
          <w:rFonts w:hint="eastAsia" w:eastAsia="仿宋_GB2312"/>
          <w:color w:val="auto"/>
          <w:lang w:val="en-US" w:eastAsia="zh-CN"/>
        </w:rPr>
        <w:t>2</w:t>
      </w:r>
      <w:r>
        <w:rPr>
          <w:rStyle w:val="22"/>
          <w:rFonts w:hint="default"/>
          <w:color w:val="auto"/>
        </w:rPr>
        <w:t>年</w:t>
      </w:r>
      <w:r>
        <w:rPr>
          <w:rStyle w:val="22"/>
          <w:rFonts w:hint="eastAsia" w:eastAsia="仿宋_GB2312"/>
          <w:color w:val="auto"/>
          <w:lang w:val="en-US" w:eastAsia="zh-CN"/>
        </w:rPr>
        <w:t>1</w:t>
      </w:r>
      <w:r>
        <w:rPr>
          <w:rStyle w:val="22"/>
          <w:rFonts w:hint="default"/>
          <w:color w:val="auto"/>
        </w:rPr>
        <w:t>月</w:t>
      </w:r>
      <w:r>
        <w:rPr>
          <w:rStyle w:val="22"/>
          <w:rFonts w:hint="eastAsia" w:eastAsia="仿宋_GB2312"/>
          <w:color w:val="auto"/>
          <w:lang w:val="en-US" w:eastAsia="zh-CN"/>
        </w:rPr>
        <w:t>1</w:t>
      </w:r>
      <w:r>
        <w:rPr>
          <w:rStyle w:val="22"/>
          <w:rFonts w:hint="default"/>
          <w:color w:val="auto"/>
        </w:rPr>
        <w:t>日起施行，有效期至202</w:t>
      </w:r>
      <w:r>
        <w:rPr>
          <w:rStyle w:val="22"/>
          <w:rFonts w:hint="default" w:ascii="仿宋_GB2312" w:eastAsia="仿宋_GB2312"/>
          <w:color w:val="auto"/>
          <w:lang w:val="en" w:eastAsia="zh-CN"/>
        </w:rPr>
        <w:t>5</w:t>
      </w:r>
      <w:r>
        <w:rPr>
          <w:rStyle w:val="22"/>
          <w:rFonts w:hint="default"/>
          <w:color w:val="auto"/>
        </w:rPr>
        <w:t>年</w:t>
      </w:r>
      <w:r>
        <w:rPr>
          <w:rStyle w:val="22"/>
          <w:rFonts w:hint="eastAsia" w:eastAsia="仿宋_GB2312"/>
          <w:color w:val="auto"/>
          <w:lang w:val="en-US" w:eastAsia="zh-CN"/>
        </w:rPr>
        <w:t>12月31</w:t>
      </w:r>
      <w:r>
        <w:rPr>
          <w:rStyle w:val="22"/>
          <w:rFonts w:hint="default"/>
          <w:color w:val="auto"/>
        </w:rPr>
        <w:t>日为止。</w:t>
      </w:r>
    </w:p>
    <w:p>
      <w:pPr>
        <w:snapToGrid w:val="0"/>
        <w:spacing w:line="560" w:lineRule="exact"/>
        <w:ind w:firstLine="640" w:firstLineChars="200"/>
        <w:rPr>
          <w:rStyle w:val="22"/>
          <w:rFonts w:hint="default"/>
          <w:color w:val="auto"/>
        </w:rPr>
      </w:pPr>
    </w:p>
    <w:p>
      <w:pPr>
        <w:tabs>
          <w:tab w:val="left" w:pos="790"/>
          <w:tab w:val="left" w:pos="1264"/>
        </w:tabs>
        <w:overflowPunct w:val="0"/>
        <w:adjustRightInd w:val="0"/>
        <w:snapToGrid w:val="0"/>
        <w:spacing w:after="220" w:line="336" w:lineRule="auto"/>
        <w:ind w:firstLine="624"/>
        <w:rPr>
          <w:rFonts w:hint="eastAsia" w:hAnsi="Times New Roman"/>
          <w:kern w:val="0"/>
          <w:szCs w:val="30"/>
        </w:rPr>
      </w:pPr>
    </w:p>
    <w:p>
      <w:pPr>
        <w:tabs>
          <w:tab w:val="left" w:pos="790"/>
          <w:tab w:val="left" w:pos="1264"/>
        </w:tabs>
        <w:overflowPunct w:val="0"/>
        <w:adjustRightInd w:val="0"/>
        <w:snapToGrid w:val="0"/>
        <w:spacing w:after="220" w:line="336" w:lineRule="auto"/>
        <w:ind w:firstLine="624"/>
        <w:rPr>
          <w:rFonts w:hint="eastAsia" w:hAnsi="Times New Roman"/>
          <w:kern w:val="0"/>
          <w:szCs w:val="30"/>
        </w:rPr>
      </w:pPr>
    </w:p>
    <w:p>
      <w:pPr>
        <w:tabs>
          <w:tab w:val="left" w:pos="790"/>
          <w:tab w:val="left" w:pos="1264"/>
        </w:tabs>
        <w:overflowPunct w:val="0"/>
        <w:adjustRightInd w:val="0"/>
        <w:snapToGrid w:val="0"/>
        <w:spacing w:after="220" w:line="336" w:lineRule="auto"/>
        <w:ind w:firstLine="624"/>
        <w:rPr>
          <w:rFonts w:hint="eastAsia" w:hAnsi="Times New Roman"/>
          <w:kern w:val="0"/>
          <w:szCs w:val="30"/>
        </w:rPr>
      </w:pPr>
    </w:p>
    <w:p>
      <w:pPr>
        <w:tabs>
          <w:tab w:val="left" w:pos="790"/>
          <w:tab w:val="left" w:pos="1264"/>
        </w:tabs>
        <w:overflowPunct w:val="0"/>
        <w:adjustRightInd w:val="0"/>
        <w:snapToGrid w:val="0"/>
        <w:spacing w:after="220" w:line="336" w:lineRule="auto"/>
        <w:ind w:firstLine="624"/>
        <w:rPr>
          <w:rFonts w:hint="eastAsia" w:hAnsi="Times New Roman"/>
          <w:kern w:val="0"/>
          <w:szCs w:val="30"/>
        </w:rPr>
      </w:pPr>
    </w:p>
    <w:p>
      <w:pPr>
        <w:tabs>
          <w:tab w:val="left" w:pos="790"/>
          <w:tab w:val="left" w:pos="1264"/>
        </w:tabs>
        <w:overflowPunct w:val="0"/>
        <w:adjustRightInd w:val="0"/>
        <w:snapToGrid w:val="0"/>
        <w:spacing w:after="220" w:line="336" w:lineRule="auto"/>
        <w:ind w:firstLine="624"/>
        <w:rPr>
          <w:rFonts w:hint="eastAsia" w:hAnsi="Times New Roman"/>
          <w:kern w:val="0"/>
          <w:szCs w:val="30"/>
        </w:rPr>
      </w:pPr>
    </w:p>
    <w:p>
      <w:pPr>
        <w:tabs>
          <w:tab w:val="left" w:pos="790"/>
          <w:tab w:val="left" w:pos="1264"/>
        </w:tabs>
        <w:overflowPunct w:val="0"/>
        <w:adjustRightInd w:val="0"/>
        <w:snapToGrid w:val="0"/>
        <w:spacing w:after="220" w:line="336" w:lineRule="auto"/>
        <w:ind w:firstLine="624"/>
        <w:rPr>
          <w:rFonts w:hint="eastAsia" w:hAnsi="Times New Roman"/>
          <w:kern w:val="0"/>
          <w:szCs w:val="30"/>
        </w:rPr>
      </w:pPr>
    </w:p>
    <w:p>
      <w:pPr>
        <w:tabs>
          <w:tab w:val="left" w:pos="790"/>
          <w:tab w:val="left" w:pos="1264"/>
        </w:tabs>
        <w:overflowPunct w:val="0"/>
        <w:adjustRightInd w:val="0"/>
        <w:snapToGrid w:val="0"/>
        <w:spacing w:after="220" w:line="336" w:lineRule="auto"/>
        <w:ind w:firstLine="624"/>
        <w:rPr>
          <w:rFonts w:hint="eastAsia" w:hAnsi="Times New Roman"/>
          <w:kern w:val="0"/>
          <w:szCs w:val="30"/>
        </w:rPr>
      </w:pPr>
    </w:p>
    <w:p>
      <w:pPr>
        <w:overflowPunct w:val="0"/>
        <w:adjustRightInd w:val="0"/>
        <w:snapToGrid w:val="0"/>
        <w:spacing w:line="336" w:lineRule="auto"/>
        <w:ind w:firstLine="284"/>
        <w:rPr>
          <w:rFonts w:hint="eastAsia" w:eastAsia="宋体"/>
          <w:kern w:val="0"/>
          <w:sz w:val="28"/>
          <w:szCs w:val="28"/>
          <w:lang w:val="en-US" w:eastAsia="zh-CN"/>
        </w:rPr>
      </w:pPr>
    </w:p>
    <w:p>
      <w:pPr>
        <w:overflowPunct w:val="0"/>
        <w:adjustRightInd w:val="0"/>
        <w:snapToGrid w:val="0"/>
        <w:spacing w:line="336" w:lineRule="auto"/>
        <w:ind w:firstLine="284"/>
        <w:rPr>
          <w:rFonts w:ascii="仿宋_GB2312" w:eastAsia="仿宋_GB2312"/>
          <w:color w:val="auto"/>
          <w:sz w:val="32"/>
          <w:szCs w:val="32"/>
        </w:rPr>
      </w:pPr>
      <w:r>
        <w:rPr>
          <w:rFonts w:hint="eastAsia" w:ascii="仿宋_GB2312" w:hAnsi="宋体" w:eastAsia="仿宋_GB2312" w:cs="Times New Roman"/>
          <w:sz w:val="28"/>
          <w:szCs w:val="28"/>
        </w:rPr>
        <w:t>上海市松江区市场监督管理局</w:t>
      </w:r>
      <w:r>
        <w:rPr>
          <w:rFonts w:hint="eastAsia" w:ascii="仿宋_GB2312" w:hAnsi="宋体" w:eastAsia="仿宋_GB2312" w:cs="Times New Roman"/>
          <w:sz w:val="28"/>
          <w:szCs w:val="28"/>
          <w:lang w:val="en-US" w:eastAsia="zh-CN"/>
        </w:rPr>
        <w:t xml:space="preserve">     </w:t>
      </w:r>
      <w:r>
        <w:rPr>
          <w:rFonts w:ascii="仿宋_GB2312" w:hAnsi="宋体" w:eastAsia="仿宋_GB2312" w:cs="Times New Roman"/>
          <w:spacing w:val="-2"/>
          <w:sz w:val="28"/>
          <w:szCs w:val="28"/>
        </w:rPr>
        <w:t xml:space="preserve">  </w:t>
      </w:r>
      <w:r>
        <w:rPr>
          <w:rFonts w:hint="eastAsia"/>
          <w:kern w:val="0"/>
          <w:sz w:val="28"/>
          <w:szCs w:val="28"/>
        </w:rPr>
        <mc:AlternateContent>
          <mc:Choice Requires="wps">
            <w:drawing>
              <wp:anchor distT="0" distB="0" distL="114300" distR="114300" simplePos="0" relativeHeight="251660288" behindDoc="0" locked="1" layoutInCell="1" allowOverlap="1">
                <wp:simplePos x="0" y="0"/>
                <wp:positionH relativeFrom="column">
                  <wp:posOffset>0</wp:posOffset>
                </wp:positionH>
                <wp:positionV relativeFrom="paragraph">
                  <wp:posOffset>-60960</wp:posOffset>
                </wp:positionV>
                <wp:extent cx="561594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5615940" cy="0"/>
                        </a:xfrm>
                        <a:prstGeom prst="line">
                          <a:avLst/>
                        </a:prstGeom>
                        <a:ln w="6350" cap="flat" cmpd="sng">
                          <a:solidFill>
                            <a:srgbClr val="000000"/>
                          </a:solidFill>
                          <a:prstDash val="solid"/>
                          <a:headEnd type="none" w="med" len="med"/>
                          <a:tailEnd type="none" w="med" len="med"/>
                        </a:ln>
                        <a:effectLst/>
                      </wps:spPr>
                      <wps:bodyPr upright="true"/>
                    </wps:wsp>
                  </a:graphicData>
                </a:graphic>
              </wp:anchor>
            </w:drawing>
          </mc:Choice>
          <mc:Fallback>
            <w:pict>
              <v:line id="_x0000_s1026" o:spid="_x0000_s1026" o:spt="20" style="position:absolute;left:0pt;margin-left:0pt;margin-top:-4.8pt;height:0pt;width:442.2pt;z-index:251660288;mso-width-relative:page;mso-height-relative:page;" filled="f" stroked="t" coordsize="21600,21600" o:gfxdata="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FgAAAGRycy9QSwECFAAUAAAA&#10;CACHTuJA7DRDO9MAAAAGAQAADwAAAAAAAAABACAAAAA4AAAAZHJzL2Rvd25yZXYueG1sUEsBAhQA&#10;FAAAAAgAh07iQAuu72DhAQAApwMAAA4AAAAAAAAAAQAgAAAAOAEAAGRycy9lMm9Eb2MueG1sUEsF&#10;BgAAAAAGAAYAWQEAAIsFAAAAAA==&#10;">
                <v:fill on="f" focussize="0,0"/>
                <v:stroke weight="0.5pt" color="#000000" joinstyle="round"/>
                <v:imagedata o:title=""/>
                <o:lock v:ext="edit" aspectratio="f"/>
                <w10:anchorlock/>
              </v:line>
            </w:pict>
          </mc:Fallback>
        </mc:AlternateContent>
      </w:r>
      <w:r>
        <w:rPr>
          <w:rFonts w:hint="eastAsia"/>
          <w:kern w:val="0"/>
          <w:sz w:val="28"/>
          <w:szCs w:val="28"/>
        </w:rPr>
        <mc:AlternateContent>
          <mc:Choice Requires="wps">
            <w:drawing>
              <wp:anchor distT="0" distB="0" distL="114300" distR="114300" simplePos="0" relativeHeight="251659264" behindDoc="0" locked="1" layoutInCell="1" allowOverlap="1">
                <wp:simplePos x="0" y="0"/>
                <wp:positionH relativeFrom="column">
                  <wp:posOffset>0</wp:posOffset>
                </wp:positionH>
                <wp:positionV relativeFrom="paragraph">
                  <wp:posOffset>253365</wp:posOffset>
                </wp:positionV>
                <wp:extent cx="561594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a:effectLst/>
                      </wps:spPr>
                      <wps:bodyPr upright="true"/>
                    </wps:wsp>
                  </a:graphicData>
                </a:graphic>
              </wp:anchor>
            </w:drawing>
          </mc:Choice>
          <mc:Fallback>
            <w:pict>
              <v:line id="_x0000_s1026" o:spid="_x0000_s1026" o:spt="20" style="position:absolute;left:0pt;margin-left:0pt;margin-top:19.95pt;height:0pt;width:442.2pt;z-index:251659264;mso-width-relative:page;mso-height-relative:page;" filled="f" stroked="t" coordsize="21600,21600" o:gfxdata="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WAAAAZHJzL1BLAQIUABQA&#10;AAAIAIdO4kCcDXHl1gAAAAYBAAAPAAAAAAAAAAEAIAAAADgAAABkcnMvZG93bnJldi54bWxQSwEC&#10;FAAUAAAACACHTuJAo09rWOABAACoAwAADgAAAAAAAAABACAAAAA7AQAAZHJzL2Uyb0RvYy54bWxQ&#10;SwUGAAAAAAYABgBZAQAAjQUAAAAA&#10;">
                <v:fill on="f" focussize="0,0"/>
                <v:stroke weight="1pt" color="#000000" joinstyle="round"/>
                <v:imagedata o:title=""/>
                <o:lock v:ext="edit" aspectratio="f"/>
                <w10:anchorlock/>
              </v:line>
            </w:pict>
          </mc:Fallback>
        </mc:AlternateContent>
      </w:r>
      <w:r>
        <w:rPr>
          <w:kern w:val="0"/>
          <w:sz w:val="28"/>
          <w:szCs w:val="28"/>
        </w:rPr>
        <mc:AlternateContent>
          <mc:Choice Requires="wps">
            <w:drawing>
              <wp:anchor distT="0" distB="0" distL="114300" distR="114300" simplePos="0" relativeHeight="251662336" behindDoc="0" locked="1" layoutInCell="1" allowOverlap="1">
                <wp:simplePos x="0" y="0"/>
                <wp:positionH relativeFrom="column">
                  <wp:posOffset>0</wp:posOffset>
                </wp:positionH>
                <wp:positionV relativeFrom="paragraph">
                  <wp:posOffset>-60960</wp:posOffset>
                </wp:positionV>
                <wp:extent cx="561594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5615940" cy="0"/>
                        </a:xfrm>
                        <a:prstGeom prst="line">
                          <a:avLst/>
                        </a:prstGeom>
                        <a:ln w="6350" cap="flat" cmpd="sng">
                          <a:solidFill>
                            <a:srgbClr val="000000"/>
                          </a:solidFill>
                          <a:prstDash val="solid"/>
                          <a:headEnd type="none" w="med" len="med"/>
                          <a:tailEnd type="none" w="med" len="med"/>
                        </a:ln>
                        <a:effectLst/>
                      </wps:spPr>
                      <wps:bodyPr upright="true"/>
                    </wps:wsp>
                  </a:graphicData>
                </a:graphic>
              </wp:anchor>
            </w:drawing>
          </mc:Choice>
          <mc:Fallback>
            <w:pict>
              <v:line id="_x0000_s1026" o:spid="_x0000_s1026" o:spt="20" style="position:absolute;left:0pt;margin-left:0pt;margin-top:-4.8pt;height:0pt;width:442.2pt;z-index:251662336;mso-width-relative:page;mso-height-relative:page;" filled="f" stroked="t" coordsize="21600,21600" o:gfxdata="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WAAAAZHJzL1BLAQIUABQAAAAI&#10;AIdO4kDsNEM70wAAAAYBAAAPAAAAAAAAAAEAIAAAADgAAABkcnMvZG93bnJldi54bWxQSwECFAAU&#10;AAAACACHTuJA/YXnYOABAACnAwAADgAAAAAAAAABACAAAAA4AQAAZHJzL2Uyb0RvYy54bWxQSwUG&#10;AAAAAAYABgBZAQAAigUAAAAA&#10;">
                <v:fill on="f" focussize="0,0"/>
                <v:stroke weight="0.5pt" color="#000000" joinstyle="round"/>
                <v:imagedata o:title=""/>
                <o:lock v:ext="edit" aspectratio="f"/>
                <w10:anchorlock/>
              </v:line>
            </w:pict>
          </mc:Fallback>
        </mc:AlternateContent>
      </w:r>
      <w:r>
        <w:rPr>
          <w:kern w:val="0"/>
          <w:sz w:val="28"/>
          <w:szCs w:val="28"/>
        </w:rPr>
        <mc:AlternateContent>
          <mc:Choice Requires="wps">
            <w:drawing>
              <wp:anchor distT="0" distB="0" distL="114300" distR="114300" simplePos="0" relativeHeight="251661312" behindDoc="0" locked="1" layoutInCell="1" allowOverlap="1">
                <wp:simplePos x="0" y="0"/>
                <wp:positionH relativeFrom="column">
                  <wp:posOffset>0</wp:posOffset>
                </wp:positionH>
                <wp:positionV relativeFrom="paragraph">
                  <wp:posOffset>253365</wp:posOffset>
                </wp:positionV>
                <wp:extent cx="561594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a:effectLst/>
                      </wps:spPr>
                      <wps:bodyPr upright="true"/>
                    </wps:wsp>
                  </a:graphicData>
                </a:graphic>
              </wp:anchor>
            </w:drawing>
          </mc:Choice>
          <mc:Fallback>
            <w:pict>
              <v:line id="_x0000_s1026" o:spid="_x0000_s1026" o:spt="20" style="position:absolute;left:0pt;margin-left:0pt;margin-top:19.95pt;height:0pt;width:442.2pt;z-index:251661312;mso-width-relative:page;mso-height-relative:page;" filled="f" stroked="t" coordsize="21600,21600" o:gfxdata="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FgAAAGRycy9QSwECFAAU&#10;AAAACACHTuJAnA1x5dYAAAAGAQAADwAAAAAAAAABACAAAAA4AAAAZHJzL2Rvd25yZXYueG1sUEsB&#10;AhQAFAAAAAgAh07iQOo1Y9DhAQAAqAMAAA4AAAAAAAAAAQAgAAAAOwEAAGRycy9lMm9Eb2MueG1s&#10;UEsFBgAAAAAGAAYAWQEAAI4FAAAAAA==&#10;">
                <v:fill on="f" focussize="0,0"/>
                <v:stroke weight="1pt" color="#000000" joinstyle="round"/>
                <v:imagedata o:title=""/>
                <o:lock v:ext="edit" aspectratio="f"/>
                <w10:anchorlock/>
              </v:line>
            </w:pict>
          </mc:Fallback>
        </mc:AlternateContent>
      </w:r>
      <w:r>
        <w:rPr>
          <w:rFonts w:hint="eastAsia" w:hAnsi="宋体"/>
          <w:spacing w:val="-2"/>
          <w:sz w:val="28"/>
          <w:szCs w:val="28"/>
        </w:rPr>
        <w:t xml:space="preserve"> </w:t>
      </w:r>
      <w:r>
        <w:rPr>
          <w:rFonts w:hint="eastAsia" w:ascii="仿宋_GB2312" w:hAnsi="宋体" w:eastAsia="仿宋_GB2312" w:cs="Times New Roman"/>
          <w:sz w:val="28"/>
          <w:szCs w:val="28"/>
        </w:rPr>
        <w:t xml:space="preserve">      2021年</w:t>
      </w:r>
      <w:r>
        <w:rPr>
          <w:rFonts w:hint="eastAsia" w:ascii="仿宋_GB2312" w:hAnsi="宋体" w:eastAsia="仿宋_GB2312" w:cs="Times New Roman"/>
          <w:sz w:val="28"/>
          <w:szCs w:val="28"/>
          <w:lang w:val="en-US" w:eastAsia="zh-CN"/>
        </w:rPr>
        <w:t>11</w:t>
      </w:r>
      <w:r>
        <w:rPr>
          <w:rFonts w:hint="eastAsia" w:ascii="仿宋_GB2312" w:hAnsi="宋体" w:eastAsia="仿宋_GB2312" w:cs="Times New Roman"/>
          <w:sz w:val="28"/>
          <w:szCs w:val="28"/>
        </w:rPr>
        <w:t>月</w:t>
      </w:r>
      <w:r>
        <w:rPr>
          <w:rFonts w:hint="eastAsia" w:ascii="仿宋_GB2312" w:hAnsi="宋体" w:eastAsia="仿宋_GB2312" w:cs="Times New Roman"/>
          <w:sz w:val="28"/>
          <w:szCs w:val="28"/>
          <w:lang w:val="en-US" w:eastAsia="zh-CN"/>
        </w:rPr>
        <w:t>30</w:t>
      </w:r>
      <w:r>
        <w:rPr>
          <w:rFonts w:hint="eastAsia" w:ascii="仿宋_GB2312" w:hAnsi="宋体" w:eastAsia="仿宋_GB2312" w:cs="Times New Roman"/>
          <w:sz w:val="28"/>
          <w:szCs w:val="28"/>
        </w:rPr>
        <w:t xml:space="preserve">日印发 </w:t>
      </w:r>
      <w:r>
        <w:rPr>
          <w:rFonts w:hint="eastAsia" w:hAnsi="宋体"/>
          <w:sz w:val="28"/>
          <w:szCs w:val="28"/>
        </w:rPr>
        <w:t xml:space="preserve"> </w:t>
      </w:r>
    </w:p>
    <w:sectPr>
      <w:footerReference r:id="rId6" w:type="default"/>
      <w:footerReference r:id="rId7" w:type="even"/>
      <w:pgSz w:w="11906" w:h="16838"/>
      <w:pgMar w:top="2098" w:right="1474" w:bottom="1984" w:left="1588" w:header="851" w:footer="1417" w:gutter="0"/>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CESI仿宋-GB2312">
    <w:panose1 w:val="02000500000000000000"/>
    <w:charset w:val="86"/>
    <w:family w:val="auto"/>
    <w:pitch w:val="default"/>
    <w:sig w:usb0="800002AF" w:usb1="084F6CF8" w:usb2="00000010" w:usb3="00000000" w:csb0="0004000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left="312" w:right="312"/>
      <w:jc w:val="right"/>
      <w:rPr>
        <w:rFonts w:ascii="宋体" w:hAnsi="宋体"/>
        <w:sz w:val="28"/>
        <w:szCs w:val="28"/>
      </w:rPr>
    </w:pPr>
    <w:r>
      <w:rPr>
        <w:rFonts w:ascii="宋体" w:hAnsi="宋体" w:eastAsia="宋体"/>
        <w:kern w:val="0"/>
        <w:sz w:val="28"/>
        <w:szCs w:val="28"/>
      </w:rPr>
      <w:t xml:space="preserve">— </w:t>
    </w:r>
    <w:r>
      <w:rPr>
        <w:rFonts w:ascii="宋体" w:hAnsi="宋体" w:eastAsia="宋体"/>
        <w:kern w:val="0"/>
        <w:sz w:val="28"/>
        <w:szCs w:val="28"/>
      </w:rPr>
      <w:fldChar w:fldCharType="begin"/>
    </w:r>
    <w:r>
      <w:rPr>
        <w:rFonts w:ascii="宋体" w:hAnsi="宋体" w:eastAsia="宋体"/>
        <w:kern w:val="0"/>
        <w:sz w:val="28"/>
        <w:szCs w:val="28"/>
      </w:rPr>
      <w:instrText xml:space="preserve"> PAGE </w:instrText>
    </w:r>
    <w:r>
      <w:rPr>
        <w:rFonts w:ascii="宋体" w:hAnsi="宋体" w:eastAsia="宋体"/>
        <w:kern w:val="0"/>
        <w:sz w:val="28"/>
        <w:szCs w:val="28"/>
      </w:rPr>
      <w:fldChar w:fldCharType="separate"/>
    </w:r>
    <w:r>
      <w:rPr>
        <w:rFonts w:ascii="宋体" w:hAnsi="宋体" w:eastAsia="宋体"/>
        <w:kern w:val="0"/>
        <w:sz w:val="28"/>
        <w:szCs w:val="28"/>
      </w:rPr>
      <w:t>2</w:t>
    </w:r>
    <w:r>
      <w:rPr>
        <w:rFonts w:ascii="宋体" w:hAnsi="宋体" w:eastAsia="宋体"/>
        <w:kern w:val="0"/>
        <w:sz w:val="28"/>
        <w:szCs w:val="28"/>
      </w:rPr>
      <w:fldChar w:fldCharType="end"/>
    </w:r>
    <w:r>
      <w:rPr>
        <w:rFonts w:ascii="宋体" w:hAnsi="宋体" w:eastAsia="宋体"/>
        <w:kern w:val="0"/>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left="312" w:right="312"/>
      <w:rPr>
        <w:rFonts w:ascii="宋体" w:hAnsi="宋体"/>
        <w:sz w:val="28"/>
        <w:szCs w:val="28"/>
      </w:rPr>
    </w:pPr>
    <w:r>
      <w:rPr>
        <w:rFonts w:ascii="宋体" w:hAnsi="宋体"/>
        <w:kern w:val="0"/>
        <w:sz w:val="28"/>
        <w:szCs w:val="28"/>
      </w:rPr>
      <w:t xml:space="preserve">— </w:t>
    </w:r>
    <w:r>
      <w:rPr>
        <w:rFonts w:ascii="宋体" w:hAnsi="宋体"/>
        <w:kern w:val="0"/>
        <w:sz w:val="28"/>
        <w:szCs w:val="28"/>
      </w:rPr>
      <w:fldChar w:fldCharType="begin"/>
    </w:r>
    <w:r>
      <w:rPr>
        <w:rFonts w:ascii="宋体" w:hAnsi="宋体"/>
        <w:kern w:val="0"/>
        <w:sz w:val="28"/>
        <w:szCs w:val="28"/>
      </w:rPr>
      <w:instrText xml:space="preserve"> PAGE </w:instrText>
    </w:r>
    <w:r>
      <w:rPr>
        <w:rFonts w:ascii="宋体" w:hAnsi="宋体"/>
        <w:kern w:val="0"/>
        <w:sz w:val="28"/>
        <w:szCs w:val="28"/>
      </w:rPr>
      <w:fldChar w:fldCharType="separate"/>
    </w:r>
    <w:r>
      <w:rPr>
        <w:rFonts w:ascii="宋体" w:hAnsi="宋体"/>
        <w:kern w:val="0"/>
        <w:sz w:val="28"/>
        <w:szCs w:val="28"/>
      </w:rPr>
      <w:t>2</w:t>
    </w:r>
    <w:r>
      <w:rPr>
        <w:rFonts w:ascii="宋体" w:hAnsi="宋体"/>
        <w:kern w:val="0"/>
        <w:sz w:val="28"/>
        <w:szCs w:val="28"/>
      </w:rPr>
      <w:fldChar w:fldCharType="end"/>
    </w:r>
    <w:r>
      <w:rPr>
        <w:rFonts w:ascii="宋体" w:hAnsi="宋体"/>
        <w:kern w:val="0"/>
        <w:sz w:val="28"/>
        <w:szCs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left="312" w:right="312"/>
      <w:jc w:val="right"/>
      <w:rPr>
        <w:sz w:val="30"/>
        <w:szCs w:val="30"/>
      </w:rPr>
    </w:pPr>
    <w:r>
      <w:rPr>
        <w:rFonts w:ascii="宋体" w:hAnsi="宋体" w:eastAsia="宋体"/>
        <w:kern w:val="0"/>
        <w:sz w:val="28"/>
        <w:szCs w:val="28"/>
      </w:rPr>
      <w:t xml:space="preserve">— </w:t>
    </w:r>
    <w:r>
      <w:rPr>
        <w:rFonts w:ascii="宋体" w:hAnsi="宋体" w:eastAsia="宋体"/>
        <w:kern w:val="0"/>
        <w:sz w:val="28"/>
        <w:szCs w:val="28"/>
      </w:rPr>
      <w:fldChar w:fldCharType="begin"/>
    </w:r>
    <w:r>
      <w:rPr>
        <w:rFonts w:ascii="宋体" w:hAnsi="宋体" w:eastAsia="宋体"/>
        <w:kern w:val="0"/>
        <w:sz w:val="28"/>
        <w:szCs w:val="28"/>
      </w:rPr>
      <w:instrText xml:space="preserve"> PAGE </w:instrText>
    </w:r>
    <w:r>
      <w:rPr>
        <w:rFonts w:ascii="宋体" w:hAnsi="宋体" w:eastAsia="宋体"/>
        <w:kern w:val="0"/>
        <w:sz w:val="28"/>
        <w:szCs w:val="28"/>
      </w:rPr>
      <w:fldChar w:fldCharType="separate"/>
    </w:r>
    <w:r>
      <w:rPr>
        <w:rFonts w:ascii="宋体" w:hAnsi="宋体" w:eastAsia="宋体"/>
        <w:kern w:val="0"/>
        <w:sz w:val="28"/>
        <w:szCs w:val="28"/>
      </w:rPr>
      <w:t>2</w:t>
    </w:r>
    <w:r>
      <w:rPr>
        <w:rFonts w:ascii="宋体" w:hAnsi="宋体" w:eastAsia="宋体"/>
        <w:kern w:val="0"/>
        <w:sz w:val="28"/>
        <w:szCs w:val="28"/>
      </w:rPr>
      <w:fldChar w:fldCharType="end"/>
    </w:r>
    <w:r>
      <w:rPr>
        <w:rFonts w:ascii="宋体" w:hAnsi="宋体" w:eastAsia="宋体"/>
        <w:kern w:val="0"/>
        <w:sz w:val="28"/>
        <w:szCs w:val="28"/>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left="312" w:right="312"/>
      <w:jc w:val="left"/>
    </w:pPr>
    <w:r>
      <w:rPr>
        <w:rFonts w:ascii="宋体" w:hAnsi="宋体" w:eastAsia="宋体"/>
        <w:kern w:val="0"/>
        <w:sz w:val="28"/>
        <w:szCs w:val="28"/>
      </w:rPr>
      <w:t xml:space="preserve">— </w:t>
    </w:r>
    <w:r>
      <w:rPr>
        <w:rFonts w:ascii="宋体" w:hAnsi="宋体" w:eastAsia="宋体"/>
        <w:kern w:val="0"/>
        <w:sz w:val="28"/>
        <w:szCs w:val="28"/>
      </w:rPr>
      <w:fldChar w:fldCharType="begin"/>
    </w:r>
    <w:r>
      <w:rPr>
        <w:rFonts w:ascii="宋体" w:hAnsi="宋体" w:eastAsia="宋体"/>
        <w:kern w:val="0"/>
        <w:sz w:val="28"/>
        <w:szCs w:val="28"/>
      </w:rPr>
      <w:instrText xml:space="preserve"> PAGE </w:instrText>
    </w:r>
    <w:r>
      <w:rPr>
        <w:rFonts w:ascii="宋体" w:hAnsi="宋体" w:eastAsia="宋体"/>
        <w:kern w:val="0"/>
        <w:sz w:val="28"/>
        <w:szCs w:val="28"/>
      </w:rPr>
      <w:fldChar w:fldCharType="separate"/>
    </w:r>
    <w:r>
      <w:rPr>
        <w:rFonts w:ascii="宋体" w:hAnsi="宋体" w:eastAsia="宋体"/>
        <w:kern w:val="0"/>
        <w:sz w:val="28"/>
        <w:szCs w:val="28"/>
      </w:rPr>
      <w:t>2</w:t>
    </w:r>
    <w:r>
      <w:rPr>
        <w:rFonts w:ascii="宋体" w:hAnsi="宋体" w:eastAsia="宋体"/>
        <w:kern w:val="0"/>
        <w:sz w:val="28"/>
        <w:szCs w:val="28"/>
      </w:rPr>
      <w:fldChar w:fldCharType="end"/>
    </w:r>
    <w:r>
      <w:rPr>
        <w:rFonts w:ascii="宋体" w:hAnsi="宋体" w:eastAsia="宋体"/>
        <w:kern w:val="0"/>
        <w:sz w:val="28"/>
        <w:szCs w:val="28"/>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top w:val="none" w:color="auto" w:sz="0" w:space="0"/>
        <w:left w:val="none" w:color="auto" w:sz="0" w:space="0"/>
        <w:bottom w:val="none" w:color="auto" w:sz="0" w:space="1"/>
        <w:right w:val="none" w:color="auto" w:sz="0" w:space="0"/>
        <w:between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9C468D9"/>
    <w:multiLevelType w:val="singleLevel"/>
    <w:tmpl w:val="79C468D9"/>
    <w:lvl w:ilvl="0" w:tentative="0">
      <w:start w:val="1"/>
      <w:numFmt w:val="chineseCounting"/>
      <w:suff w:val="nothing"/>
      <w:lvlText w:val="（%1）"/>
      <w:lvlJc w:val="left"/>
      <w:rPr>
        <w:rFonts w:hint="eastAsia"/>
      </w:rPr>
    </w:lvl>
  </w:abstractNum>
  <w:abstractNum w:abstractNumId="1">
    <w:nsid w:val="7FFE5FC3"/>
    <w:multiLevelType w:val="singleLevel"/>
    <w:tmpl w:val="7FFE5FC3"/>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true"/>
  <w:drawingGridHorizontalSpacing w:val="105"/>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F76"/>
    <w:rsid w:val="00005AD7"/>
    <w:rsid w:val="00010749"/>
    <w:rsid w:val="00021DF1"/>
    <w:rsid w:val="00022A19"/>
    <w:rsid w:val="0002341C"/>
    <w:rsid w:val="00027795"/>
    <w:rsid w:val="00032033"/>
    <w:rsid w:val="0003457D"/>
    <w:rsid w:val="00040310"/>
    <w:rsid w:val="00042B17"/>
    <w:rsid w:val="00044D4A"/>
    <w:rsid w:val="000471FE"/>
    <w:rsid w:val="000477F5"/>
    <w:rsid w:val="000545EB"/>
    <w:rsid w:val="000563C0"/>
    <w:rsid w:val="00057541"/>
    <w:rsid w:val="00062994"/>
    <w:rsid w:val="00064F12"/>
    <w:rsid w:val="00066F31"/>
    <w:rsid w:val="00071ECE"/>
    <w:rsid w:val="00073E92"/>
    <w:rsid w:val="000740FA"/>
    <w:rsid w:val="00074BBD"/>
    <w:rsid w:val="00076E4E"/>
    <w:rsid w:val="00081B39"/>
    <w:rsid w:val="00082B50"/>
    <w:rsid w:val="000855E3"/>
    <w:rsid w:val="00095582"/>
    <w:rsid w:val="00096428"/>
    <w:rsid w:val="000A09B9"/>
    <w:rsid w:val="000A2537"/>
    <w:rsid w:val="000B07EB"/>
    <w:rsid w:val="000B7B52"/>
    <w:rsid w:val="000B7F1D"/>
    <w:rsid w:val="000C1DA6"/>
    <w:rsid w:val="000C5CED"/>
    <w:rsid w:val="000C7A97"/>
    <w:rsid w:val="000D0574"/>
    <w:rsid w:val="000D05F9"/>
    <w:rsid w:val="000D2B90"/>
    <w:rsid w:val="000E6468"/>
    <w:rsid w:val="000F06EA"/>
    <w:rsid w:val="000F3876"/>
    <w:rsid w:val="0010088C"/>
    <w:rsid w:val="0010469F"/>
    <w:rsid w:val="001061D4"/>
    <w:rsid w:val="00110591"/>
    <w:rsid w:val="0011313A"/>
    <w:rsid w:val="001146FE"/>
    <w:rsid w:val="00117618"/>
    <w:rsid w:val="0012645A"/>
    <w:rsid w:val="00130EA2"/>
    <w:rsid w:val="001355D4"/>
    <w:rsid w:val="00141214"/>
    <w:rsid w:val="001425D6"/>
    <w:rsid w:val="00143C64"/>
    <w:rsid w:val="00144350"/>
    <w:rsid w:val="00145063"/>
    <w:rsid w:val="00145F32"/>
    <w:rsid w:val="00151D6A"/>
    <w:rsid w:val="00156079"/>
    <w:rsid w:val="00156BCC"/>
    <w:rsid w:val="00160493"/>
    <w:rsid w:val="00162E61"/>
    <w:rsid w:val="00166FD3"/>
    <w:rsid w:val="00167055"/>
    <w:rsid w:val="00170EEC"/>
    <w:rsid w:val="00173391"/>
    <w:rsid w:val="00175351"/>
    <w:rsid w:val="0018573B"/>
    <w:rsid w:val="00190531"/>
    <w:rsid w:val="001918A7"/>
    <w:rsid w:val="00192302"/>
    <w:rsid w:val="00193109"/>
    <w:rsid w:val="001A2D7D"/>
    <w:rsid w:val="001A4C51"/>
    <w:rsid w:val="001A51C3"/>
    <w:rsid w:val="001A52D8"/>
    <w:rsid w:val="001A5CC5"/>
    <w:rsid w:val="001A5F76"/>
    <w:rsid w:val="001B07A6"/>
    <w:rsid w:val="001B0B35"/>
    <w:rsid w:val="001B1095"/>
    <w:rsid w:val="001B294B"/>
    <w:rsid w:val="001B427E"/>
    <w:rsid w:val="001C0EF5"/>
    <w:rsid w:val="001C124F"/>
    <w:rsid w:val="001D2833"/>
    <w:rsid w:val="001D2ACA"/>
    <w:rsid w:val="001D4925"/>
    <w:rsid w:val="001D50F3"/>
    <w:rsid w:val="001E00D6"/>
    <w:rsid w:val="001E11C3"/>
    <w:rsid w:val="001E1E7F"/>
    <w:rsid w:val="001E54A1"/>
    <w:rsid w:val="001E67BD"/>
    <w:rsid w:val="001F70E5"/>
    <w:rsid w:val="002034F5"/>
    <w:rsid w:val="00204A1D"/>
    <w:rsid w:val="002113DB"/>
    <w:rsid w:val="0021568E"/>
    <w:rsid w:val="002169A6"/>
    <w:rsid w:val="0022005D"/>
    <w:rsid w:val="00224BC4"/>
    <w:rsid w:val="00230B66"/>
    <w:rsid w:val="002317E7"/>
    <w:rsid w:val="00243F89"/>
    <w:rsid w:val="00250863"/>
    <w:rsid w:val="002519AF"/>
    <w:rsid w:val="00252411"/>
    <w:rsid w:val="00254A88"/>
    <w:rsid w:val="002561FB"/>
    <w:rsid w:val="0025731F"/>
    <w:rsid w:val="00265BCB"/>
    <w:rsid w:val="00267306"/>
    <w:rsid w:val="0027411F"/>
    <w:rsid w:val="00275C13"/>
    <w:rsid w:val="00281D09"/>
    <w:rsid w:val="00291114"/>
    <w:rsid w:val="00292F0C"/>
    <w:rsid w:val="00293F50"/>
    <w:rsid w:val="00296BD9"/>
    <w:rsid w:val="002A7FBF"/>
    <w:rsid w:val="002B3410"/>
    <w:rsid w:val="002B429C"/>
    <w:rsid w:val="002B4FD8"/>
    <w:rsid w:val="002B5471"/>
    <w:rsid w:val="002B60BD"/>
    <w:rsid w:val="002B6A8C"/>
    <w:rsid w:val="002C1E9E"/>
    <w:rsid w:val="002C3DD7"/>
    <w:rsid w:val="002C3DF1"/>
    <w:rsid w:val="002C435D"/>
    <w:rsid w:val="002C4A9F"/>
    <w:rsid w:val="002D0251"/>
    <w:rsid w:val="002D16DD"/>
    <w:rsid w:val="002D172A"/>
    <w:rsid w:val="002D2965"/>
    <w:rsid w:val="002D2E5D"/>
    <w:rsid w:val="002D3DAB"/>
    <w:rsid w:val="002D6118"/>
    <w:rsid w:val="002E5DBC"/>
    <w:rsid w:val="002E6718"/>
    <w:rsid w:val="002E77DB"/>
    <w:rsid w:val="002F5BBA"/>
    <w:rsid w:val="00302DCB"/>
    <w:rsid w:val="00303A12"/>
    <w:rsid w:val="00306095"/>
    <w:rsid w:val="003158E3"/>
    <w:rsid w:val="00317BC0"/>
    <w:rsid w:val="0032241D"/>
    <w:rsid w:val="003270FA"/>
    <w:rsid w:val="003333C2"/>
    <w:rsid w:val="003421D1"/>
    <w:rsid w:val="0035157F"/>
    <w:rsid w:val="00351F9D"/>
    <w:rsid w:val="00353C5D"/>
    <w:rsid w:val="0035651D"/>
    <w:rsid w:val="00360C8F"/>
    <w:rsid w:val="00365594"/>
    <w:rsid w:val="003737E7"/>
    <w:rsid w:val="003752F9"/>
    <w:rsid w:val="00376173"/>
    <w:rsid w:val="00376F11"/>
    <w:rsid w:val="0038284D"/>
    <w:rsid w:val="00383A31"/>
    <w:rsid w:val="00384A74"/>
    <w:rsid w:val="0038517E"/>
    <w:rsid w:val="0038642C"/>
    <w:rsid w:val="00386F3C"/>
    <w:rsid w:val="00391341"/>
    <w:rsid w:val="0039140B"/>
    <w:rsid w:val="003A1ED1"/>
    <w:rsid w:val="003A4C79"/>
    <w:rsid w:val="003B3B34"/>
    <w:rsid w:val="003B519F"/>
    <w:rsid w:val="003C2733"/>
    <w:rsid w:val="003C7BB0"/>
    <w:rsid w:val="003D1A3C"/>
    <w:rsid w:val="003D1EA6"/>
    <w:rsid w:val="003D2C4E"/>
    <w:rsid w:val="003D468F"/>
    <w:rsid w:val="003D5748"/>
    <w:rsid w:val="003D6DA0"/>
    <w:rsid w:val="003D79AC"/>
    <w:rsid w:val="003E116D"/>
    <w:rsid w:val="003E1209"/>
    <w:rsid w:val="003E792E"/>
    <w:rsid w:val="003F45D9"/>
    <w:rsid w:val="003F5CEA"/>
    <w:rsid w:val="003F7B9D"/>
    <w:rsid w:val="00403D52"/>
    <w:rsid w:val="00404877"/>
    <w:rsid w:val="00413C96"/>
    <w:rsid w:val="00413D3B"/>
    <w:rsid w:val="00413D45"/>
    <w:rsid w:val="0041765C"/>
    <w:rsid w:val="0042546F"/>
    <w:rsid w:val="00425CD5"/>
    <w:rsid w:val="0042674B"/>
    <w:rsid w:val="00427710"/>
    <w:rsid w:val="00427FC4"/>
    <w:rsid w:val="00431146"/>
    <w:rsid w:val="004311C5"/>
    <w:rsid w:val="0043493E"/>
    <w:rsid w:val="00435258"/>
    <w:rsid w:val="0044593D"/>
    <w:rsid w:val="00447C6A"/>
    <w:rsid w:val="00455353"/>
    <w:rsid w:val="00456235"/>
    <w:rsid w:val="004569DB"/>
    <w:rsid w:val="00457AAB"/>
    <w:rsid w:val="00460F86"/>
    <w:rsid w:val="00460FB9"/>
    <w:rsid w:val="00467262"/>
    <w:rsid w:val="004721DC"/>
    <w:rsid w:val="004749C8"/>
    <w:rsid w:val="00477810"/>
    <w:rsid w:val="004810BE"/>
    <w:rsid w:val="004812EE"/>
    <w:rsid w:val="00485C0C"/>
    <w:rsid w:val="00490F9C"/>
    <w:rsid w:val="00492409"/>
    <w:rsid w:val="00493FFB"/>
    <w:rsid w:val="0049563E"/>
    <w:rsid w:val="004A0654"/>
    <w:rsid w:val="004A0889"/>
    <w:rsid w:val="004A55D1"/>
    <w:rsid w:val="004B277F"/>
    <w:rsid w:val="004B6112"/>
    <w:rsid w:val="004C3D9E"/>
    <w:rsid w:val="004C629E"/>
    <w:rsid w:val="004C77D1"/>
    <w:rsid w:val="004C7AEE"/>
    <w:rsid w:val="004D05BB"/>
    <w:rsid w:val="004D4A0C"/>
    <w:rsid w:val="004E3FEE"/>
    <w:rsid w:val="004E63CD"/>
    <w:rsid w:val="004E7886"/>
    <w:rsid w:val="004F1012"/>
    <w:rsid w:val="004F2A36"/>
    <w:rsid w:val="005016D6"/>
    <w:rsid w:val="00501F69"/>
    <w:rsid w:val="00513AED"/>
    <w:rsid w:val="005141F3"/>
    <w:rsid w:val="00515C64"/>
    <w:rsid w:val="00520292"/>
    <w:rsid w:val="00527727"/>
    <w:rsid w:val="00537A5B"/>
    <w:rsid w:val="00540464"/>
    <w:rsid w:val="00542560"/>
    <w:rsid w:val="00542B18"/>
    <w:rsid w:val="00543F1C"/>
    <w:rsid w:val="00544EE4"/>
    <w:rsid w:val="00545A0C"/>
    <w:rsid w:val="0055186C"/>
    <w:rsid w:val="005545E5"/>
    <w:rsid w:val="0055734B"/>
    <w:rsid w:val="005605CA"/>
    <w:rsid w:val="00564618"/>
    <w:rsid w:val="005744CB"/>
    <w:rsid w:val="005804D0"/>
    <w:rsid w:val="0058274D"/>
    <w:rsid w:val="005829A3"/>
    <w:rsid w:val="00582D8D"/>
    <w:rsid w:val="005852F9"/>
    <w:rsid w:val="00590553"/>
    <w:rsid w:val="00592109"/>
    <w:rsid w:val="00592B16"/>
    <w:rsid w:val="005A05E1"/>
    <w:rsid w:val="005A2124"/>
    <w:rsid w:val="005A25CD"/>
    <w:rsid w:val="005A3042"/>
    <w:rsid w:val="005B0C45"/>
    <w:rsid w:val="005B3A16"/>
    <w:rsid w:val="005B6295"/>
    <w:rsid w:val="005B78FE"/>
    <w:rsid w:val="005C5EA3"/>
    <w:rsid w:val="005C6C16"/>
    <w:rsid w:val="005D0278"/>
    <w:rsid w:val="005D1318"/>
    <w:rsid w:val="005D3B9F"/>
    <w:rsid w:val="005E37A7"/>
    <w:rsid w:val="005E5FA5"/>
    <w:rsid w:val="005E6193"/>
    <w:rsid w:val="005F2A41"/>
    <w:rsid w:val="005F3CBF"/>
    <w:rsid w:val="00600518"/>
    <w:rsid w:val="0060084B"/>
    <w:rsid w:val="00600F80"/>
    <w:rsid w:val="0060658F"/>
    <w:rsid w:val="006107C2"/>
    <w:rsid w:val="006119F5"/>
    <w:rsid w:val="0062590C"/>
    <w:rsid w:val="00626D2E"/>
    <w:rsid w:val="0063026B"/>
    <w:rsid w:val="00630DC7"/>
    <w:rsid w:val="0063153B"/>
    <w:rsid w:val="0063427C"/>
    <w:rsid w:val="00637753"/>
    <w:rsid w:val="00640EEC"/>
    <w:rsid w:val="00644B4F"/>
    <w:rsid w:val="00647AE0"/>
    <w:rsid w:val="0065089E"/>
    <w:rsid w:val="006512C5"/>
    <w:rsid w:val="00651F78"/>
    <w:rsid w:val="00652F29"/>
    <w:rsid w:val="00653DFA"/>
    <w:rsid w:val="00665FFA"/>
    <w:rsid w:val="006678AC"/>
    <w:rsid w:val="00672C9F"/>
    <w:rsid w:val="006770CC"/>
    <w:rsid w:val="00677CCD"/>
    <w:rsid w:val="006847BE"/>
    <w:rsid w:val="00686CCC"/>
    <w:rsid w:val="00687DE0"/>
    <w:rsid w:val="00694475"/>
    <w:rsid w:val="00695504"/>
    <w:rsid w:val="006A0D79"/>
    <w:rsid w:val="006A300F"/>
    <w:rsid w:val="006A317B"/>
    <w:rsid w:val="006A3C1E"/>
    <w:rsid w:val="006A57E5"/>
    <w:rsid w:val="006A59D3"/>
    <w:rsid w:val="006A739E"/>
    <w:rsid w:val="006B3941"/>
    <w:rsid w:val="006B59CE"/>
    <w:rsid w:val="006B7BD8"/>
    <w:rsid w:val="006B7F30"/>
    <w:rsid w:val="006C2FE4"/>
    <w:rsid w:val="006C5C2A"/>
    <w:rsid w:val="006C5D18"/>
    <w:rsid w:val="006C73B9"/>
    <w:rsid w:val="006D0DE4"/>
    <w:rsid w:val="006D2464"/>
    <w:rsid w:val="006D2C42"/>
    <w:rsid w:val="006D4E6D"/>
    <w:rsid w:val="006D69EC"/>
    <w:rsid w:val="006E20A6"/>
    <w:rsid w:val="006E5C56"/>
    <w:rsid w:val="007009CC"/>
    <w:rsid w:val="007034C3"/>
    <w:rsid w:val="00704780"/>
    <w:rsid w:val="00705B1E"/>
    <w:rsid w:val="007071B2"/>
    <w:rsid w:val="00710A8C"/>
    <w:rsid w:val="00721937"/>
    <w:rsid w:val="007250E8"/>
    <w:rsid w:val="00725D94"/>
    <w:rsid w:val="0072687A"/>
    <w:rsid w:val="007318A3"/>
    <w:rsid w:val="007321D9"/>
    <w:rsid w:val="0073280F"/>
    <w:rsid w:val="00740581"/>
    <w:rsid w:val="007430EA"/>
    <w:rsid w:val="00743CE5"/>
    <w:rsid w:val="007444CD"/>
    <w:rsid w:val="0074554C"/>
    <w:rsid w:val="00745FD5"/>
    <w:rsid w:val="007502E0"/>
    <w:rsid w:val="00753B77"/>
    <w:rsid w:val="00757E0B"/>
    <w:rsid w:val="00760387"/>
    <w:rsid w:val="00763780"/>
    <w:rsid w:val="007652B7"/>
    <w:rsid w:val="00774119"/>
    <w:rsid w:val="007760EE"/>
    <w:rsid w:val="00777099"/>
    <w:rsid w:val="007849E1"/>
    <w:rsid w:val="007903B9"/>
    <w:rsid w:val="00790A54"/>
    <w:rsid w:val="007918FE"/>
    <w:rsid w:val="007A06E0"/>
    <w:rsid w:val="007A2F06"/>
    <w:rsid w:val="007A31A6"/>
    <w:rsid w:val="007A4394"/>
    <w:rsid w:val="007A6282"/>
    <w:rsid w:val="007B0E1D"/>
    <w:rsid w:val="007B1FDB"/>
    <w:rsid w:val="007B2A70"/>
    <w:rsid w:val="007B38C5"/>
    <w:rsid w:val="007B643B"/>
    <w:rsid w:val="007C3E6D"/>
    <w:rsid w:val="007C4B69"/>
    <w:rsid w:val="007D13CA"/>
    <w:rsid w:val="007D6561"/>
    <w:rsid w:val="007E3B26"/>
    <w:rsid w:val="007F159F"/>
    <w:rsid w:val="007F596F"/>
    <w:rsid w:val="007F6A87"/>
    <w:rsid w:val="007F6AFB"/>
    <w:rsid w:val="007F6DAD"/>
    <w:rsid w:val="007F778A"/>
    <w:rsid w:val="00802CAD"/>
    <w:rsid w:val="008048DC"/>
    <w:rsid w:val="0080661B"/>
    <w:rsid w:val="00806EE6"/>
    <w:rsid w:val="00813346"/>
    <w:rsid w:val="00814B0C"/>
    <w:rsid w:val="00815A20"/>
    <w:rsid w:val="00824EE3"/>
    <w:rsid w:val="0082644E"/>
    <w:rsid w:val="00831ADF"/>
    <w:rsid w:val="0083413F"/>
    <w:rsid w:val="00836D83"/>
    <w:rsid w:val="00837402"/>
    <w:rsid w:val="008467E7"/>
    <w:rsid w:val="0085677A"/>
    <w:rsid w:val="00863FEC"/>
    <w:rsid w:val="008724D3"/>
    <w:rsid w:val="00874168"/>
    <w:rsid w:val="00876AC5"/>
    <w:rsid w:val="008815EC"/>
    <w:rsid w:val="00896080"/>
    <w:rsid w:val="00896289"/>
    <w:rsid w:val="008A4E22"/>
    <w:rsid w:val="008A5A12"/>
    <w:rsid w:val="008B0DDF"/>
    <w:rsid w:val="008B1234"/>
    <w:rsid w:val="008B5C92"/>
    <w:rsid w:val="008C1887"/>
    <w:rsid w:val="008C18BD"/>
    <w:rsid w:val="008C1BC1"/>
    <w:rsid w:val="008C2E03"/>
    <w:rsid w:val="008C4437"/>
    <w:rsid w:val="008D4287"/>
    <w:rsid w:val="008D65F2"/>
    <w:rsid w:val="008E3557"/>
    <w:rsid w:val="008E4390"/>
    <w:rsid w:val="008E4D0A"/>
    <w:rsid w:val="008E7015"/>
    <w:rsid w:val="008E71EC"/>
    <w:rsid w:val="008F3597"/>
    <w:rsid w:val="008F6695"/>
    <w:rsid w:val="008F774E"/>
    <w:rsid w:val="00910A99"/>
    <w:rsid w:val="0091616E"/>
    <w:rsid w:val="00920BC4"/>
    <w:rsid w:val="00925676"/>
    <w:rsid w:val="00930F41"/>
    <w:rsid w:val="009416AB"/>
    <w:rsid w:val="009439A0"/>
    <w:rsid w:val="00944DF5"/>
    <w:rsid w:val="0094514E"/>
    <w:rsid w:val="009502E3"/>
    <w:rsid w:val="00950EFB"/>
    <w:rsid w:val="00963E55"/>
    <w:rsid w:val="009735FB"/>
    <w:rsid w:val="00977100"/>
    <w:rsid w:val="00986383"/>
    <w:rsid w:val="00986B32"/>
    <w:rsid w:val="009958C9"/>
    <w:rsid w:val="00995BE4"/>
    <w:rsid w:val="009A126A"/>
    <w:rsid w:val="009A3B4A"/>
    <w:rsid w:val="009A400C"/>
    <w:rsid w:val="009A4F5C"/>
    <w:rsid w:val="009B0166"/>
    <w:rsid w:val="009B27E8"/>
    <w:rsid w:val="009B2C3E"/>
    <w:rsid w:val="009C4BE0"/>
    <w:rsid w:val="009D4E04"/>
    <w:rsid w:val="009D5572"/>
    <w:rsid w:val="009E3183"/>
    <w:rsid w:val="009E3782"/>
    <w:rsid w:val="009F12BB"/>
    <w:rsid w:val="009F154F"/>
    <w:rsid w:val="00A0338D"/>
    <w:rsid w:val="00A10B07"/>
    <w:rsid w:val="00A10FEA"/>
    <w:rsid w:val="00A11E46"/>
    <w:rsid w:val="00A14B19"/>
    <w:rsid w:val="00A16B8E"/>
    <w:rsid w:val="00A35B7B"/>
    <w:rsid w:val="00A41C01"/>
    <w:rsid w:val="00A43470"/>
    <w:rsid w:val="00A50305"/>
    <w:rsid w:val="00A54871"/>
    <w:rsid w:val="00A61D0F"/>
    <w:rsid w:val="00A7335D"/>
    <w:rsid w:val="00A75780"/>
    <w:rsid w:val="00A81C93"/>
    <w:rsid w:val="00A82656"/>
    <w:rsid w:val="00A85516"/>
    <w:rsid w:val="00A90778"/>
    <w:rsid w:val="00A90CBC"/>
    <w:rsid w:val="00A927C2"/>
    <w:rsid w:val="00A92E82"/>
    <w:rsid w:val="00AA21D8"/>
    <w:rsid w:val="00AA25F2"/>
    <w:rsid w:val="00AA53CA"/>
    <w:rsid w:val="00AB0107"/>
    <w:rsid w:val="00AB0258"/>
    <w:rsid w:val="00AB041C"/>
    <w:rsid w:val="00AB1115"/>
    <w:rsid w:val="00AB1B91"/>
    <w:rsid w:val="00AC1A75"/>
    <w:rsid w:val="00AC1C06"/>
    <w:rsid w:val="00AC570F"/>
    <w:rsid w:val="00AC62F9"/>
    <w:rsid w:val="00AD630C"/>
    <w:rsid w:val="00AD7610"/>
    <w:rsid w:val="00AE7B5C"/>
    <w:rsid w:val="00AF36E7"/>
    <w:rsid w:val="00AF4176"/>
    <w:rsid w:val="00AF54B1"/>
    <w:rsid w:val="00AF54CE"/>
    <w:rsid w:val="00B00020"/>
    <w:rsid w:val="00B01C83"/>
    <w:rsid w:val="00B0248E"/>
    <w:rsid w:val="00B14193"/>
    <w:rsid w:val="00B14383"/>
    <w:rsid w:val="00B1649E"/>
    <w:rsid w:val="00B1762C"/>
    <w:rsid w:val="00B2283A"/>
    <w:rsid w:val="00B22E5E"/>
    <w:rsid w:val="00B23662"/>
    <w:rsid w:val="00B24B45"/>
    <w:rsid w:val="00B26763"/>
    <w:rsid w:val="00B312FE"/>
    <w:rsid w:val="00B3459E"/>
    <w:rsid w:val="00B35F13"/>
    <w:rsid w:val="00B3671A"/>
    <w:rsid w:val="00B3772C"/>
    <w:rsid w:val="00B41B07"/>
    <w:rsid w:val="00B41DD3"/>
    <w:rsid w:val="00B4773A"/>
    <w:rsid w:val="00B5177A"/>
    <w:rsid w:val="00B5392B"/>
    <w:rsid w:val="00B55747"/>
    <w:rsid w:val="00B55E41"/>
    <w:rsid w:val="00B62BBD"/>
    <w:rsid w:val="00B63563"/>
    <w:rsid w:val="00B7450F"/>
    <w:rsid w:val="00B74F65"/>
    <w:rsid w:val="00B77CF0"/>
    <w:rsid w:val="00B830DF"/>
    <w:rsid w:val="00B909D6"/>
    <w:rsid w:val="00B91C99"/>
    <w:rsid w:val="00B93ED0"/>
    <w:rsid w:val="00B966D7"/>
    <w:rsid w:val="00BA07AE"/>
    <w:rsid w:val="00BA12F6"/>
    <w:rsid w:val="00BA20AC"/>
    <w:rsid w:val="00BA47A7"/>
    <w:rsid w:val="00BB3588"/>
    <w:rsid w:val="00BC4F7A"/>
    <w:rsid w:val="00BD40EA"/>
    <w:rsid w:val="00BD6E15"/>
    <w:rsid w:val="00BD742B"/>
    <w:rsid w:val="00BD7F05"/>
    <w:rsid w:val="00BE0B75"/>
    <w:rsid w:val="00BE22E6"/>
    <w:rsid w:val="00BE2692"/>
    <w:rsid w:val="00BE39BF"/>
    <w:rsid w:val="00BE74FB"/>
    <w:rsid w:val="00BF2306"/>
    <w:rsid w:val="00BF2CAB"/>
    <w:rsid w:val="00BF3B75"/>
    <w:rsid w:val="00C02974"/>
    <w:rsid w:val="00C04A47"/>
    <w:rsid w:val="00C06470"/>
    <w:rsid w:val="00C13A02"/>
    <w:rsid w:val="00C171B2"/>
    <w:rsid w:val="00C226FD"/>
    <w:rsid w:val="00C22D1A"/>
    <w:rsid w:val="00C2585E"/>
    <w:rsid w:val="00C300A5"/>
    <w:rsid w:val="00C33F1F"/>
    <w:rsid w:val="00C3436F"/>
    <w:rsid w:val="00C3681A"/>
    <w:rsid w:val="00C41A8A"/>
    <w:rsid w:val="00C447A4"/>
    <w:rsid w:val="00C505EC"/>
    <w:rsid w:val="00C52600"/>
    <w:rsid w:val="00C55657"/>
    <w:rsid w:val="00C572FE"/>
    <w:rsid w:val="00C706A3"/>
    <w:rsid w:val="00C77ADA"/>
    <w:rsid w:val="00C8286C"/>
    <w:rsid w:val="00C82C3D"/>
    <w:rsid w:val="00C92D0A"/>
    <w:rsid w:val="00C96A57"/>
    <w:rsid w:val="00C9748F"/>
    <w:rsid w:val="00C979B8"/>
    <w:rsid w:val="00CA3235"/>
    <w:rsid w:val="00CA4234"/>
    <w:rsid w:val="00CA5248"/>
    <w:rsid w:val="00CA5B06"/>
    <w:rsid w:val="00CB34A0"/>
    <w:rsid w:val="00CB671C"/>
    <w:rsid w:val="00CB7DFB"/>
    <w:rsid w:val="00CC107A"/>
    <w:rsid w:val="00CC23BD"/>
    <w:rsid w:val="00CC4663"/>
    <w:rsid w:val="00CC54A3"/>
    <w:rsid w:val="00CC6961"/>
    <w:rsid w:val="00CD4C6E"/>
    <w:rsid w:val="00CE2480"/>
    <w:rsid w:val="00CE2A43"/>
    <w:rsid w:val="00CE460F"/>
    <w:rsid w:val="00CF210F"/>
    <w:rsid w:val="00CF6D68"/>
    <w:rsid w:val="00D02A49"/>
    <w:rsid w:val="00D05078"/>
    <w:rsid w:val="00D11487"/>
    <w:rsid w:val="00D12E87"/>
    <w:rsid w:val="00D16131"/>
    <w:rsid w:val="00D20C23"/>
    <w:rsid w:val="00D24A81"/>
    <w:rsid w:val="00D3079A"/>
    <w:rsid w:val="00D319ED"/>
    <w:rsid w:val="00D35105"/>
    <w:rsid w:val="00D357C9"/>
    <w:rsid w:val="00D369B7"/>
    <w:rsid w:val="00D4280B"/>
    <w:rsid w:val="00D43D0E"/>
    <w:rsid w:val="00D47A25"/>
    <w:rsid w:val="00D543C2"/>
    <w:rsid w:val="00D563AB"/>
    <w:rsid w:val="00D648BC"/>
    <w:rsid w:val="00D754F5"/>
    <w:rsid w:val="00D77441"/>
    <w:rsid w:val="00D807A4"/>
    <w:rsid w:val="00D80830"/>
    <w:rsid w:val="00D808DF"/>
    <w:rsid w:val="00D85D53"/>
    <w:rsid w:val="00D862C9"/>
    <w:rsid w:val="00D86F03"/>
    <w:rsid w:val="00D90BE4"/>
    <w:rsid w:val="00D92621"/>
    <w:rsid w:val="00D945C3"/>
    <w:rsid w:val="00D94A99"/>
    <w:rsid w:val="00D94B12"/>
    <w:rsid w:val="00D9731D"/>
    <w:rsid w:val="00DA36E4"/>
    <w:rsid w:val="00DA4378"/>
    <w:rsid w:val="00DA5C0C"/>
    <w:rsid w:val="00DA5F30"/>
    <w:rsid w:val="00DB148A"/>
    <w:rsid w:val="00DB4516"/>
    <w:rsid w:val="00DB7CF5"/>
    <w:rsid w:val="00DC507B"/>
    <w:rsid w:val="00DD0C1F"/>
    <w:rsid w:val="00DD4389"/>
    <w:rsid w:val="00DD4BA7"/>
    <w:rsid w:val="00DD7538"/>
    <w:rsid w:val="00DD79BB"/>
    <w:rsid w:val="00DE1812"/>
    <w:rsid w:val="00DE2970"/>
    <w:rsid w:val="00DE39F0"/>
    <w:rsid w:val="00DE3DD0"/>
    <w:rsid w:val="00DE550A"/>
    <w:rsid w:val="00DE727C"/>
    <w:rsid w:val="00DF014E"/>
    <w:rsid w:val="00DF12EB"/>
    <w:rsid w:val="00DF5FD2"/>
    <w:rsid w:val="00DF6888"/>
    <w:rsid w:val="00E01B86"/>
    <w:rsid w:val="00E02740"/>
    <w:rsid w:val="00E034CF"/>
    <w:rsid w:val="00E32540"/>
    <w:rsid w:val="00E36877"/>
    <w:rsid w:val="00E3692C"/>
    <w:rsid w:val="00E42F23"/>
    <w:rsid w:val="00E563ED"/>
    <w:rsid w:val="00E56B6F"/>
    <w:rsid w:val="00E63D89"/>
    <w:rsid w:val="00E646FE"/>
    <w:rsid w:val="00E654C2"/>
    <w:rsid w:val="00E6687C"/>
    <w:rsid w:val="00E71EB1"/>
    <w:rsid w:val="00E72A75"/>
    <w:rsid w:val="00E77E91"/>
    <w:rsid w:val="00E81B32"/>
    <w:rsid w:val="00E86AE4"/>
    <w:rsid w:val="00E9014E"/>
    <w:rsid w:val="00E93AF9"/>
    <w:rsid w:val="00E96916"/>
    <w:rsid w:val="00EA073D"/>
    <w:rsid w:val="00EA128F"/>
    <w:rsid w:val="00EA159E"/>
    <w:rsid w:val="00EA43AD"/>
    <w:rsid w:val="00EA50A2"/>
    <w:rsid w:val="00EB0FC9"/>
    <w:rsid w:val="00EB38B1"/>
    <w:rsid w:val="00EB4781"/>
    <w:rsid w:val="00EB57EF"/>
    <w:rsid w:val="00EB6F78"/>
    <w:rsid w:val="00ED1F02"/>
    <w:rsid w:val="00EE1E6E"/>
    <w:rsid w:val="00EF237C"/>
    <w:rsid w:val="00EF2704"/>
    <w:rsid w:val="00EF33C5"/>
    <w:rsid w:val="00EF4E09"/>
    <w:rsid w:val="00EF591F"/>
    <w:rsid w:val="00EF70AB"/>
    <w:rsid w:val="00F03442"/>
    <w:rsid w:val="00F075EE"/>
    <w:rsid w:val="00F07983"/>
    <w:rsid w:val="00F104C1"/>
    <w:rsid w:val="00F1074F"/>
    <w:rsid w:val="00F171DE"/>
    <w:rsid w:val="00F244DB"/>
    <w:rsid w:val="00F255D3"/>
    <w:rsid w:val="00F304B8"/>
    <w:rsid w:val="00F30FAD"/>
    <w:rsid w:val="00F31934"/>
    <w:rsid w:val="00F34B2C"/>
    <w:rsid w:val="00F3522F"/>
    <w:rsid w:val="00F35C24"/>
    <w:rsid w:val="00F370E5"/>
    <w:rsid w:val="00F37E48"/>
    <w:rsid w:val="00F4185A"/>
    <w:rsid w:val="00F42F00"/>
    <w:rsid w:val="00F43B7D"/>
    <w:rsid w:val="00F472AE"/>
    <w:rsid w:val="00F51D27"/>
    <w:rsid w:val="00F57CD7"/>
    <w:rsid w:val="00F61732"/>
    <w:rsid w:val="00F6516B"/>
    <w:rsid w:val="00F677B4"/>
    <w:rsid w:val="00F67EA3"/>
    <w:rsid w:val="00F71CE9"/>
    <w:rsid w:val="00F71CF7"/>
    <w:rsid w:val="00F75B21"/>
    <w:rsid w:val="00F7621C"/>
    <w:rsid w:val="00F84D23"/>
    <w:rsid w:val="00F85099"/>
    <w:rsid w:val="00F87D86"/>
    <w:rsid w:val="00F9070A"/>
    <w:rsid w:val="00F9096C"/>
    <w:rsid w:val="00F97676"/>
    <w:rsid w:val="00FA0947"/>
    <w:rsid w:val="00FA1CF7"/>
    <w:rsid w:val="00FA2D80"/>
    <w:rsid w:val="00FA550A"/>
    <w:rsid w:val="00FA5C75"/>
    <w:rsid w:val="00FB15BF"/>
    <w:rsid w:val="00FB22C4"/>
    <w:rsid w:val="00FB2584"/>
    <w:rsid w:val="00FC3412"/>
    <w:rsid w:val="00FC56C1"/>
    <w:rsid w:val="00FC60C8"/>
    <w:rsid w:val="00FD12E4"/>
    <w:rsid w:val="00FD246D"/>
    <w:rsid w:val="00FD5050"/>
    <w:rsid w:val="00FD5F16"/>
    <w:rsid w:val="00FD658A"/>
    <w:rsid w:val="00FD6F3A"/>
    <w:rsid w:val="00FE35D4"/>
    <w:rsid w:val="00FE4456"/>
    <w:rsid w:val="00FE4DC7"/>
    <w:rsid w:val="00FE634E"/>
    <w:rsid w:val="00FE790B"/>
    <w:rsid w:val="00FF2F1C"/>
    <w:rsid w:val="00FF52BB"/>
    <w:rsid w:val="00FF5B12"/>
    <w:rsid w:val="16BC4A04"/>
    <w:rsid w:val="1E3E5768"/>
    <w:rsid w:val="1EEB635D"/>
    <w:rsid w:val="1EFF201F"/>
    <w:rsid w:val="31BCE0BC"/>
    <w:rsid w:val="33D66FCF"/>
    <w:rsid w:val="346E1172"/>
    <w:rsid w:val="357FF7EE"/>
    <w:rsid w:val="3DFDA3A2"/>
    <w:rsid w:val="3FB98CA1"/>
    <w:rsid w:val="4A280476"/>
    <w:rsid w:val="5337A5A5"/>
    <w:rsid w:val="534FE5BB"/>
    <w:rsid w:val="577FB9E9"/>
    <w:rsid w:val="57DF12C3"/>
    <w:rsid w:val="5B6D8790"/>
    <w:rsid w:val="5CAD8B5F"/>
    <w:rsid w:val="5DAF0C04"/>
    <w:rsid w:val="5EE6AA38"/>
    <w:rsid w:val="5F7AB850"/>
    <w:rsid w:val="5FFF5FA9"/>
    <w:rsid w:val="6777448D"/>
    <w:rsid w:val="6E7ACAED"/>
    <w:rsid w:val="6E990591"/>
    <w:rsid w:val="6FEF4906"/>
    <w:rsid w:val="70650FE1"/>
    <w:rsid w:val="73EA185F"/>
    <w:rsid w:val="777D1FA8"/>
    <w:rsid w:val="77C746E6"/>
    <w:rsid w:val="77EFB788"/>
    <w:rsid w:val="7B15D675"/>
    <w:rsid w:val="7B3AA94E"/>
    <w:rsid w:val="7B8F4B9D"/>
    <w:rsid w:val="7DF574ED"/>
    <w:rsid w:val="7FBE47C3"/>
    <w:rsid w:val="7FF71383"/>
    <w:rsid w:val="7FFF35C7"/>
    <w:rsid w:val="9D5F965C"/>
    <w:rsid w:val="B1DFAF0D"/>
    <w:rsid w:val="BAD7A4CE"/>
    <w:rsid w:val="BB534437"/>
    <w:rsid w:val="BBF5C69A"/>
    <w:rsid w:val="BD6F485D"/>
    <w:rsid w:val="BEF9AFB0"/>
    <w:rsid w:val="BF5DB677"/>
    <w:rsid w:val="BF73A36C"/>
    <w:rsid w:val="D6DFE577"/>
    <w:rsid w:val="D9F7EBCD"/>
    <w:rsid w:val="DBD6ED15"/>
    <w:rsid w:val="DEE6898A"/>
    <w:rsid w:val="DF957A9F"/>
    <w:rsid w:val="E2DEBECA"/>
    <w:rsid w:val="E55B243F"/>
    <w:rsid w:val="E73EB0DF"/>
    <w:rsid w:val="EBFBE16E"/>
    <w:rsid w:val="F3FD194F"/>
    <w:rsid w:val="F7BF1FA4"/>
    <w:rsid w:val="F7D71870"/>
    <w:rsid w:val="F7FFBF83"/>
    <w:rsid w:val="F9FB9C76"/>
    <w:rsid w:val="FAFB9D41"/>
    <w:rsid w:val="FDCEB997"/>
    <w:rsid w:val="FEA51338"/>
    <w:rsid w:val="FEFA260F"/>
    <w:rsid w:val="FF751AD9"/>
    <w:rsid w:val="FFDB5639"/>
    <w:rsid w:val="FFE7EDF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qFormat="1" w:uiPriority="0" w:semiHidden="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2">
    <w:name w:val="annotation text"/>
    <w:basedOn w:val="1"/>
    <w:link w:val="12"/>
    <w:qFormat/>
    <w:uiPriority w:val="0"/>
    <w:pPr>
      <w:jc w:val="left"/>
    </w:pPr>
  </w:style>
  <w:style w:type="paragraph" w:styleId="3">
    <w:name w:val="Date"/>
    <w:basedOn w:val="1"/>
    <w:next w:val="1"/>
    <w:link w:val="13"/>
    <w:qFormat/>
    <w:uiPriority w:val="0"/>
    <w:pPr>
      <w:ind w:left="100" w:leftChars="2500"/>
    </w:pPr>
  </w:style>
  <w:style w:type="paragraph" w:styleId="4">
    <w:name w:val="Balloon Text"/>
    <w:basedOn w:val="1"/>
    <w:link w:val="14"/>
    <w:qFormat/>
    <w:uiPriority w:val="0"/>
    <w:rPr>
      <w:sz w:val="18"/>
      <w:szCs w:val="18"/>
    </w:rPr>
  </w:style>
  <w:style w:type="paragraph" w:styleId="5">
    <w:name w:val="footer"/>
    <w:basedOn w:val="1"/>
    <w:link w:val="15"/>
    <w:qFormat/>
    <w:uiPriority w:val="0"/>
    <w:pPr>
      <w:tabs>
        <w:tab w:val="center" w:pos="4153"/>
        <w:tab w:val="right" w:pos="8306"/>
      </w:tabs>
      <w:snapToGrid w:val="0"/>
      <w:jc w:val="left"/>
    </w:pPr>
    <w:rPr>
      <w:sz w:val="18"/>
      <w:szCs w:val="18"/>
    </w:rPr>
  </w:style>
  <w:style w:type="paragraph" w:styleId="6">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7">
    <w:name w:val="Body Text 2"/>
    <w:basedOn w:val="1"/>
    <w:link w:val="17"/>
    <w:unhideWhenUsed/>
    <w:qFormat/>
    <w:uiPriority w:val="0"/>
    <w:pPr>
      <w:spacing w:after="120" w:line="480" w:lineRule="auto"/>
    </w:pPr>
  </w:style>
  <w:style w:type="paragraph" w:styleId="8">
    <w:name w:val="HTML Preformatted"/>
    <w:basedOn w:val="1"/>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9">
    <w:name w:val="Normal (Web)"/>
    <w:basedOn w:val="1"/>
    <w:qFormat/>
    <w:uiPriority w:val="99"/>
    <w:pPr>
      <w:spacing w:before="100" w:beforeAutospacing="1" w:after="100" w:afterAutospacing="1"/>
    </w:pPr>
    <w:rPr>
      <w:rFonts w:ascii="宋体" w:hAnsi="宋体" w:cs="宋体"/>
      <w:szCs w:val="22"/>
    </w:rPr>
  </w:style>
  <w:style w:type="character" w:customStyle="1" w:styleId="12">
    <w:name w:val="批注文字 字符"/>
    <w:link w:val="2"/>
    <w:qFormat/>
    <w:uiPriority w:val="0"/>
    <w:rPr>
      <w:kern w:val="2"/>
      <w:sz w:val="21"/>
      <w:szCs w:val="24"/>
    </w:rPr>
  </w:style>
  <w:style w:type="character" w:customStyle="1" w:styleId="13">
    <w:name w:val="日期 字符"/>
    <w:link w:val="3"/>
    <w:qFormat/>
    <w:uiPriority w:val="0"/>
    <w:rPr>
      <w:kern w:val="2"/>
      <w:sz w:val="21"/>
      <w:szCs w:val="24"/>
    </w:rPr>
  </w:style>
  <w:style w:type="character" w:customStyle="1" w:styleId="14">
    <w:name w:val="批注框文本 字符"/>
    <w:link w:val="4"/>
    <w:qFormat/>
    <w:uiPriority w:val="0"/>
    <w:rPr>
      <w:kern w:val="2"/>
      <w:sz w:val="18"/>
      <w:szCs w:val="18"/>
    </w:rPr>
  </w:style>
  <w:style w:type="character" w:customStyle="1" w:styleId="15">
    <w:name w:val="页脚 字符"/>
    <w:link w:val="5"/>
    <w:qFormat/>
    <w:uiPriority w:val="0"/>
    <w:rPr>
      <w:kern w:val="2"/>
      <w:sz w:val="18"/>
      <w:szCs w:val="18"/>
    </w:rPr>
  </w:style>
  <w:style w:type="character" w:customStyle="1" w:styleId="16">
    <w:name w:val="页眉 字符"/>
    <w:link w:val="6"/>
    <w:qFormat/>
    <w:uiPriority w:val="0"/>
    <w:rPr>
      <w:kern w:val="2"/>
      <w:sz w:val="18"/>
      <w:szCs w:val="18"/>
    </w:rPr>
  </w:style>
  <w:style w:type="character" w:customStyle="1" w:styleId="17">
    <w:name w:val="正文文本 2 字符"/>
    <w:link w:val="7"/>
    <w:qFormat/>
    <w:uiPriority w:val="0"/>
    <w:rPr>
      <w:kern w:val="2"/>
      <w:sz w:val="21"/>
      <w:szCs w:val="24"/>
    </w:rPr>
  </w:style>
  <w:style w:type="paragraph" w:customStyle="1" w:styleId="18">
    <w:name w:val="列出段落1"/>
    <w:basedOn w:val="1"/>
    <w:qFormat/>
    <w:uiPriority w:val="0"/>
    <w:pPr>
      <w:ind w:firstLine="420" w:firstLineChars="200"/>
    </w:pPr>
    <w:rPr>
      <w:rFonts w:ascii="Calibri" w:hAnsi="Calibri"/>
      <w:szCs w:val="22"/>
    </w:rPr>
  </w:style>
  <w:style w:type="paragraph" w:styleId="19">
    <w:name w:val="List Paragraph"/>
    <w:basedOn w:val="1"/>
    <w:qFormat/>
    <w:uiPriority w:val="99"/>
    <w:pPr>
      <w:ind w:firstLine="420" w:firstLineChars="200"/>
    </w:pPr>
    <w:rPr>
      <w:rFonts w:ascii="Calibri" w:hAnsi="Calibri"/>
      <w:szCs w:val="22"/>
    </w:rPr>
  </w:style>
  <w:style w:type="table" w:customStyle="1" w:styleId="20">
    <w:name w:val="网格型浅色1"/>
    <w:basedOn w:val="10"/>
    <w:qFormat/>
    <w:uiPriority w:val="40"/>
    <w:rPr>
      <w:rFonts w:eastAsia="仿宋_GB2312"/>
      <w:kern w:val="2"/>
      <w:sz w:val="30"/>
      <w:szCs w:val="30"/>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21">
    <w:name w:val="网格型1"/>
    <w:basedOn w:val="10"/>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2">
    <w:name w:val="fontstyle11"/>
    <w:basedOn w:val="11"/>
    <w:qFormat/>
    <w:uiPriority w:val="0"/>
    <w:rPr>
      <w:rFonts w:hint="eastAsia" w:ascii="仿宋_GB2312" w:eastAsia="仿宋_GB2312"/>
      <w:color w:val="000000"/>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13</Pages>
  <Words>822</Words>
  <Characters>4686</Characters>
  <Lines>39</Lines>
  <Paragraphs>10</Paragraphs>
  <TotalTime>4</TotalTime>
  <ScaleCrop>false</ScaleCrop>
  <LinksUpToDate>false</LinksUpToDate>
  <CharactersWithSpaces>5498</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2021-08-24T01:12:00Z</dcterms:created>
  <dc:creator>yanghaifeng</dc:creator>
  <cp:lastModifiedBy>uos</cp:lastModifiedBy>
  <cp:lastPrinted>2021-10-24T10:56:00Z</cp:lastPrinted>
  <dcterms:modified xsi:type="dcterms:W3CDTF">2021-12-14T14:18:27Z</dcterms:modified>
  <dc:title>松江区开展“大棚房”问题清理整治情况</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ies>
</file>