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帮办事项清单（第一批）</w:t>
      </w:r>
      <w:bookmarkStart w:id="1" w:name="_GoBack"/>
      <w:bookmarkEnd w:id="1"/>
    </w:p>
    <w:tbl>
      <w:tblPr>
        <w:tblStyle w:val="6"/>
        <w:tblW w:w="121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3402"/>
        <w:gridCol w:w="5670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846" w:type="dxa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序号</w:t>
            </w:r>
          </w:p>
        </w:tc>
        <w:tc>
          <w:tcPr>
            <w:tcW w:w="3402" w:type="dxa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事项名称</w:t>
            </w:r>
          </w:p>
        </w:tc>
        <w:tc>
          <w:tcPr>
            <w:tcW w:w="5670" w:type="dxa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简要描述</w:t>
            </w:r>
          </w:p>
        </w:tc>
        <w:tc>
          <w:tcPr>
            <w:tcW w:w="2268" w:type="dxa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涉及单位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3402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开办企业</w:t>
            </w:r>
          </w:p>
        </w:tc>
        <w:tc>
          <w:tcPr>
            <w:tcW w:w="5670" w:type="dxa"/>
            <w:vAlign w:val="center"/>
          </w:tcPr>
          <w:p>
            <w:pPr>
              <w:adjustRightInd w:val="0"/>
              <w:snapToGrid w:val="0"/>
              <w:spacing w:line="312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1、“一站式”办理企业开办，整合营业执照申领、发票发放、公章刻制等事项</w:t>
            </w:r>
          </w:p>
          <w:p>
            <w:pPr>
              <w:adjustRightInd w:val="0"/>
              <w:snapToGrid w:val="0"/>
              <w:spacing w:line="312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2、对各类企业及其分支机构，包括内资公司及分公司，内资个人独资企业及分支机构，内资合伙企业及分支机构、非公司内资企业法人及分支机构等设立登记的相关流程、申请材料进行指导</w:t>
            </w:r>
          </w:p>
        </w:tc>
        <w:tc>
          <w:tcPr>
            <w:tcW w:w="2268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区市场监管局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3402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施工许可</w:t>
            </w:r>
          </w:p>
        </w:tc>
        <w:tc>
          <w:tcPr>
            <w:tcW w:w="5670" w:type="dxa"/>
            <w:vAlign w:val="center"/>
          </w:tcPr>
          <w:p>
            <w:pPr>
              <w:keepNext/>
              <w:spacing w:before="100" w:beforeAutospacing="1" w:after="100" w:afterAutospacing="1" w:line="44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1、“一站式”办理产业类项目施工许可，整合规划许可证、施工许可证、供排水接入等事项</w:t>
            </w:r>
          </w:p>
          <w:p>
            <w:pPr>
              <w:keepNext/>
              <w:spacing w:before="100" w:beforeAutospacing="1" w:after="100" w:afterAutospacing="1" w:line="44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2、“一站式”办理竣工验收，整合自然资源、建设管理、绿化市容、卫生健康、民防、房屋、交通等领域主管部门负责验收的事项</w:t>
            </w:r>
          </w:p>
          <w:p>
            <w:pPr>
              <w:keepNext/>
              <w:spacing w:before="100" w:beforeAutospacing="1" w:after="100" w:afterAutospacing="1" w:line="44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3、梳理</w:t>
            </w:r>
            <w:r>
              <w:rPr>
                <w:rFonts w:hint="eastAsia" w:ascii="仿宋_GB2312" w:eastAsia="仿宋_GB2312"/>
                <w:sz w:val="32"/>
                <w:szCs w:val="32"/>
              </w:rPr>
              <w:t>施工许可</w:t>
            </w:r>
            <w:r>
              <w:rPr>
                <w:rFonts w:hint="eastAsia" w:ascii="仿宋_GB2312" w:eastAsia="仿宋_GB2312"/>
                <w:sz w:val="28"/>
                <w:szCs w:val="28"/>
              </w:rPr>
              <w:t>审批流程，提供政策咨询服务，对线上审批管理系统申报进行操作指导</w:t>
            </w:r>
          </w:p>
        </w:tc>
        <w:tc>
          <w:tcPr>
            <w:tcW w:w="2268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区工程建设项目审批审查中心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</w:t>
            </w:r>
          </w:p>
        </w:tc>
        <w:tc>
          <w:tcPr>
            <w:tcW w:w="3402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登记财产</w:t>
            </w:r>
          </w:p>
        </w:tc>
        <w:tc>
          <w:tcPr>
            <w:tcW w:w="5670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1、“一站式”办理不动产登记，整合自然资源确权登记、房屋交易、税费缴纳等事项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</w:p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2</w:t>
            </w:r>
            <w:r>
              <w:rPr>
                <w:rFonts w:hint="eastAsia" w:ascii="仿宋_GB2312" w:eastAsia="仿宋_GB2312"/>
                <w:sz w:val="28"/>
                <w:szCs w:val="28"/>
              </w:rPr>
              <w:t>、对疑难案件的预审（如：不动产首次登记、抵押登记、变更登记）</w:t>
            </w:r>
          </w:p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3</w:t>
            </w:r>
            <w:r>
              <w:rPr>
                <w:rFonts w:hint="eastAsia" w:ascii="仿宋_GB2312" w:eastAsia="仿宋_GB2312"/>
                <w:sz w:val="28"/>
                <w:szCs w:val="28"/>
              </w:rPr>
              <w:t>、对非网签企业房地产买卖合同的协助打印</w:t>
            </w:r>
          </w:p>
        </w:tc>
        <w:tc>
          <w:tcPr>
            <w:tcW w:w="2268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区自然资源确权登记事务中心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</w:t>
            </w:r>
          </w:p>
        </w:tc>
        <w:tc>
          <w:tcPr>
            <w:tcW w:w="3402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纳税申报</w:t>
            </w:r>
          </w:p>
        </w:tc>
        <w:tc>
          <w:tcPr>
            <w:tcW w:w="5670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1、企业跨区迁入相关涉税业务的指导办理</w:t>
            </w:r>
          </w:p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2、外籍人员发放个人所得税APP注册码的业务指导</w:t>
            </w:r>
          </w:p>
          <w:p>
            <w:pPr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3、对纳税人办理税务登记后领用发票的业务指导</w:t>
            </w:r>
          </w:p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4、已办理发票票种核定的纳税人，对调整当前领用发票的种类、数量或者开票限额的业务指导</w:t>
            </w:r>
          </w:p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5、向纳税人提供自身涉税信息的查询服务</w:t>
            </w:r>
          </w:p>
        </w:tc>
        <w:tc>
          <w:tcPr>
            <w:tcW w:w="2268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区税务局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</w:t>
            </w:r>
          </w:p>
        </w:tc>
        <w:tc>
          <w:tcPr>
            <w:tcW w:w="3402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企业对接多层次资本市场（企业上市）</w:t>
            </w:r>
          </w:p>
        </w:tc>
        <w:tc>
          <w:tcPr>
            <w:tcW w:w="5670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1、对企业上市发展规划、潜在问题的跟踪和指导。</w:t>
            </w:r>
          </w:p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2</w:t>
            </w:r>
            <w:r>
              <w:rPr>
                <w:rFonts w:hint="eastAsia" w:ascii="仿宋_GB2312" w:eastAsia="仿宋_GB2312"/>
                <w:sz w:val="28"/>
                <w:szCs w:val="28"/>
              </w:rPr>
              <w:t>、利用静安区上市培育共享智库，为上市培育企业提供专业化资本服务</w:t>
            </w:r>
          </w:p>
        </w:tc>
        <w:tc>
          <w:tcPr>
            <w:tcW w:w="2268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区金融办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6</w:t>
            </w:r>
          </w:p>
        </w:tc>
        <w:tc>
          <w:tcPr>
            <w:tcW w:w="3402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上海市高新技术企业认定</w:t>
            </w:r>
          </w:p>
        </w:tc>
        <w:tc>
          <w:tcPr>
            <w:tcW w:w="5670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上海市高新技术企业认定要求和流程的业务指导</w:t>
            </w:r>
          </w:p>
        </w:tc>
        <w:tc>
          <w:tcPr>
            <w:tcW w:w="2268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区科委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7</w:t>
            </w:r>
          </w:p>
        </w:tc>
        <w:tc>
          <w:tcPr>
            <w:tcW w:w="3402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外国人来华工作许可</w:t>
            </w:r>
          </w:p>
        </w:tc>
        <w:tc>
          <w:tcPr>
            <w:tcW w:w="5670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用人单位办理外国人来华工作许可的业务指导</w:t>
            </w:r>
          </w:p>
        </w:tc>
        <w:tc>
          <w:tcPr>
            <w:tcW w:w="2268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区科委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8</w:t>
            </w:r>
          </w:p>
        </w:tc>
        <w:tc>
          <w:tcPr>
            <w:tcW w:w="3402" w:type="dxa"/>
            <w:vAlign w:val="center"/>
          </w:tcPr>
          <w:p>
            <w:pPr>
              <w:keepNext/>
              <w:spacing w:before="100" w:beforeAutospacing="1" w:after="100" w:afterAutospacing="1" w:line="44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企业法人不动产登记大批量查询</w:t>
            </w:r>
          </w:p>
        </w:tc>
        <w:tc>
          <w:tcPr>
            <w:tcW w:w="5670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1、法人授权且在本区登记备案的，对在自助查询机查询“本人（法人）名下不动产登记簿信息”（数量不超过100条）的操作指导</w:t>
            </w:r>
          </w:p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2</w:t>
            </w:r>
            <w:r>
              <w:rPr>
                <w:rFonts w:hint="eastAsia" w:ascii="仿宋_GB2312" w:eastAsia="仿宋_GB2312"/>
                <w:sz w:val="28"/>
                <w:szCs w:val="28"/>
              </w:rPr>
              <w:t>、对企业以“法人用户”登录 “一网通办”平台，在“我的不动产”栏目进行查询和下载的业务指导</w:t>
            </w:r>
          </w:p>
        </w:tc>
        <w:tc>
          <w:tcPr>
            <w:tcW w:w="2268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bookmarkStart w:id="0" w:name="_Hlk72742849"/>
            <w:r>
              <w:rPr>
                <w:rFonts w:hint="eastAsia" w:ascii="仿宋_GB2312" w:eastAsia="仿宋_GB2312"/>
                <w:sz w:val="28"/>
                <w:szCs w:val="28"/>
              </w:rPr>
              <w:t>区自然资源确权登记事务中心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9</w:t>
            </w:r>
          </w:p>
        </w:tc>
        <w:tc>
          <w:tcPr>
            <w:tcW w:w="3402" w:type="dxa"/>
            <w:vAlign w:val="center"/>
          </w:tcPr>
          <w:p>
            <w:pPr>
              <w:keepNext/>
              <w:spacing w:before="100" w:beforeAutospacing="1" w:after="100" w:afterAutospacing="1" w:line="44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人力资源服务许可证</w:t>
            </w:r>
          </w:p>
        </w:tc>
        <w:tc>
          <w:tcPr>
            <w:tcW w:w="5670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通过“一网通办”平台申请《人力资源服务许可证》的业务指导</w:t>
            </w:r>
          </w:p>
        </w:tc>
        <w:tc>
          <w:tcPr>
            <w:tcW w:w="2268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区人力资源社会保障局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sz w:val="28"/>
                <w:szCs w:val="28"/>
              </w:rPr>
              <w:t>0</w:t>
            </w:r>
          </w:p>
        </w:tc>
        <w:tc>
          <w:tcPr>
            <w:tcW w:w="3402" w:type="dxa"/>
            <w:vAlign w:val="center"/>
          </w:tcPr>
          <w:p>
            <w:pPr>
              <w:keepNext/>
              <w:spacing w:before="100" w:beforeAutospacing="1" w:after="100" w:afterAutospacing="1" w:line="44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劳务派遣服务许可证</w:t>
            </w:r>
          </w:p>
        </w:tc>
        <w:tc>
          <w:tcPr>
            <w:tcW w:w="5670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通过“一网通办”平台申请《劳务派遣许可证》的业务指导</w:t>
            </w:r>
          </w:p>
        </w:tc>
        <w:tc>
          <w:tcPr>
            <w:tcW w:w="2268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区人力资源社会保障局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3402" w:type="dxa"/>
            <w:vAlign w:val="center"/>
          </w:tcPr>
          <w:p>
            <w:pPr>
              <w:keepNext/>
              <w:spacing w:before="100" w:beforeAutospacing="1" w:after="100" w:afterAutospacing="1" w:line="44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居住证积分</w:t>
            </w:r>
          </w:p>
        </w:tc>
        <w:tc>
          <w:tcPr>
            <w:tcW w:w="5670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居住证积分相关政策解读和业务受理</w:t>
            </w:r>
          </w:p>
        </w:tc>
        <w:tc>
          <w:tcPr>
            <w:tcW w:w="2268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区人力资源社会保障局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3402" w:type="dxa"/>
            <w:vAlign w:val="center"/>
          </w:tcPr>
          <w:p>
            <w:pPr>
              <w:keepNext/>
              <w:spacing w:before="100" w:beforeAutospacing="1" w:after="100" w:afterAutospacing="1" w:line="44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人才引进落户</w:t>
            </w:r>
          </w:p>
        </w:tc>
        <w:tc>
          <w:tcPr>
            <w:tcW w:w="5670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人才引进落户相关政策解读和业务受理</w:t>
            </w:r>
          </w:p>
        </w:tc>
        <w:tc>
          <w:tcPr>
            <w:tcW w:w="2268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区人力资源社会保障局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sz w:val="28"/>
                <w:szCs w:val="28"/>
              </w:rPr>
              <w:t>3</w:t>
            </w:r>
          </w:p>
        </w:tc>
        <w:tc>
          <w:tcPr>
            <w:tcW w:w="3402" w:type="dxa"/>
            <w:vAlign w:val="center"/>
          </w:tcPr>
          <w:p>
            <w:pPr>
              <w:keepNext/>
              <w:spacing w:before="100" w:beforeAutospacing="1" w:after="100" w:afterAutospacing="1" w:line="44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信用修复</w:t>
            </w:r>
          </w:p>
        </w:tc>
        <w:tc>
          <w:tcPr>
            <w:tcW w:w="5670" w:type="dxa"/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对企业申请失信信息信用修复提交材料、申请流程的咨询解答。具体信用修复标准以原失信信息提供单位为准</w:t>
            </w:r>
          </w:p>
        </w:tc>
        <w:tc>
          <w:tcPr>
            <w:tcW w:w="2268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区发展改革委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sz w:val="28"/>
                <w:szCs w:val="28"/>
              </w:rPr>
              <w:t>4</w:t>
            </w:r>
          </w:p>
        </w:tc>
        <w:tc>
          <w:tcPr>
            <w:tcW w:w="3402" w:type="dxa"/>
            <w:vAlign w:val="center"/>
          </w:tcPr>
          <w:p>
            <w:pPr>
              <w:keepNext/>
              <w:spacing w:before="100" w:beforeAutospacing="1" w:after="100" w:afterAutospacing="1" w:line="44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网上事项申办指导</w:t>
            </w:r>
          </w:p>
        </w:tc>
        <w:tc>
          <w:tcPr>
            <w:tcW w:w="5670" w:type="dxa"/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“一网通办”网上申请政务服务事项的操作指导</w:t>
            </w:r>
          </w:p>
        </w:tc>
        <w:tc>
          <w:tcPr>
            <w:tcW w:w="2268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区行政服务中心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sz w:val="28"/>
                <w:szCs w:val="28"/>
              </w:rPr>
              <w:t>5</w:t>
            </w:r>
          </w:p>
        </w:tc>
        <w:tc>
          <w:tcPr>
            <w:tcW w:w="3402" w:type="dxa"/>
            <w:vAlign w:val="center"/>
          </w:tcPr>
          <w:p>
            <w:pPr>
              <w:keepNext/>
              <w:spacing w:before="100" w:beforeAutospacing="1" w:after="100" w:afterAutospacing="1" w:line="44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表格填写指导</w:t>
            </w:r>
          </w:p>
        </w:tc>
        <w:tc>
          <w:tcPr>
            <w:tcW w:w="5670" w:type="dxa"/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区行政服务中心部分事项表格填写的指导</w:t>
            </w:r>
          </w:p>
        </w:tc>
        <w:tc>
          <w:tcPr>
            <w:tcW w:w="2268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区行政服务中心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sz w:val="28"/>
                <w:szCs w:val="28"/>
              </w:rPr>
              <w:t>6</w:t>
            </w:r>
          </w:p>
        </w:tc>
        <w:tc>
          <w:tcPr>
            <w:tcW w:w="3402" w:type="dxa"/>
            <w:vAlign w:val="center"/>
          </w:tcPr>
          <w:p>
            <w:pPr>
              <w:keepNext/>
              <w:spacing w:before="100" w:beforeAutospacing="1" w:after="100" w:afterAutospacing="1" w:line="44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部分高频事项材料预审</w:t>
            </w:r>
          </w:p>
        </w:tc>
        <w:tc>
          <w:tcPr>
            <w:tcW w:w="5670" w:type="dxa"/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根据区行政服务中心入驻部门的要求，对办理部分高频事项提交材料的预审指导</w:t>
            </w:r>
          </w:p>
        </w:tc>
        <w:tc>
          <w:tcPr>
            <w:tcW w:w="2268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区行政服务中心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sz w:val="28"/>
                <w:szCs w:val="28"/>
              </w:rPr>
              <w:t>7</w:t>
            </w:r>
          </w:p>
        </w:tc>
        <w:tc>
          <w:tcPr>
            <w:tcW w:w="3402" w:type="dxa"/>
            <w:vAlign w:val="center"/>
          </w:tcPr>
          <w:p>
            <w:pPr>
              <w:keepNext/>
              <w:spacing w:before="100" w:beforeAutospacing="1" w:after="100" w:afterAutospacing="1" w:line="44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文化产业政策</w:t>
            </w:r>
          </w:p>
        </w:tc>
        <w:tc>
          <w:tcPr>
            <w:tcW w:w="5670" w:type="dxa"/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影视、电竞产业相关扶持政策指导</w:t>
            </w:r>
          </w:p>
        </w:tc>
        <w:tc>
          <w:tcPr>
            <w:tcW w:w="2268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区文化旅游局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sz w:val="28"/>
                <w:szCs w:val="28"/>
              </w:rPr>
              <w:t>8</w:t>
            </w:r>
          </w:p>
        </w:tc>
        <w:tc>
          <w:tcPr>
            <w:tcW w:w="3402" w:type="dxa"/>
            <w:vAlign w:val="center"/>
          </w:tcPr>
          <w:p>
            <w:pPr>
              <w:keepNext/>
              <w:spacing w:before="100" w:beforeAutospacing="1" w:after="100" w:afterAutospacing="1" w:line="44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人力资源产业政策</w:t>
            </w:r>
          </w:p>
        </w:tc>
        <w:tc>
          <w:tcPr>
            <w:tcW w:w="5670" w:type="dxa"/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人力资源产业相关扶持政策指导</w:t>
            </w:r>
          </w:p>
        </w:tc>
        <w:tc>
          <w:tcPr>
            <w:tcW w:w="2268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区人力资源社会保障局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sz w:val="28"/>
                <w:szCs w:val="28"/>
              </w:rPr>
              <w:t>9</w:t>
            </w:r>
          </w:p>
        </w:tc>
        <w:tc>
          <w:tcPr>
            <w:tcW w:w="3402" w:type="dxa"/>
            <w:vAlign w:val="center"/>
          </w:tcPr>
          <w:p>
            <w:pPr>
              <w:keepNext/>
              <w:spacing w:before="100" w:beforeAutospacing="1" w:after="100" w:afterAutospacing="1" w:line="44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人才公寓申请</w:t>
            </w:r>
          </w:p>
        </w:tc>
        <w:tc>
          <w:tcPr>
            <w:tcW w:w="5670" w:type="dxa"/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对申请人才公寓提交材料的指导</w:t>
            </w:r>
          </w:p>
        </w:tc>
        <w:tc>
          <w:tcPr>
            <w:tcW w:w="2268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区房管局</w:t>
            </w:r>
          </w:p>
        </w:tc>
      </w:tr>
    </w:tbl>
    <w:p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01469423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0A5"/>
    <w:rsid w:val="000072E8"/>
    <w:rsid w:val="0001079B"/>
    <w:rsid w:val="00011277"/>
    <w:rsid w:val="00027263"/>
    <w:rsid w:val="00045039"/>
    <w:rsid w:val="00095682"/>
    <w:rsid w:val="000B27EB"/>
    <w:rsid w:val="000B4DD5"/>
    <w:rsid w:val="000F48D2"/>
    <w:rsid w:val="001005F5"/>
    <w:rsid w:val="00155E61"/>
    <w:rsid w:val="001572FE"/>
    <w:rsid w:val="00161291"/>
    <w:rsid w:val="0017421C"/>
    <w:rsid w:val="00181D18"/>
    <w:rsid w:val="001C4857"/>
    <w:rsid w:val="001D104C"/>
    <w:rsid w:val="001F6BAD"/>
    <w:rsid w:val="00201426"/>
    <w:rsid w:val="00215695"/>
    <w:rsid w:val="0022713C"/>
    <w:rsid w:val="00236A42"/>
    <w:rsid w:val="002807A3"/>
    <w:rsid w:val="00280CFC"/>
    <w:rsid w:val="002A1AD5"/>
    <w:rsid w:val="002E07B6"/>
    <w:rsid w:val="002E0B2B"/>
    <w:rsid w:val="002E361A"/>
    <w:rsid w:val="002F3D9F"/>
    <w:rsid w:val="002F5F47"/>
    <w:rsid w:val="00302130"/>
    <w:rsid w:val="003027AE"/>
    <w:rsid w:val="00310A75"/>
    <w:rsid w:val="00314EB5"/>
    <w:rsid w:val="003628A8"/>
    <w:rsid w:val="00384A2C"/>
    <w:rsid w:val="00384FF5"/>
    <w:rsid w:val="00392024"/>
    <w:rsid w:val="00394E5D"/>
    <w:rsid w:val="003B29E3"/>
    <w:rsid w:val="003B4ACA"/>
    <w:rsid w:val="003F0E0E"/>
    <w:rsid w:val="004049CF"/>
    <w:rsid w:val="00417DD7"/>
    <w:rsid w:val="004217DB"/>
    <w:rsid w:val="00427823"/>
    <w:rsid w:val="00432C87"/>
    <w:rsid w:val="00433535"/>
    <w:rsid w:val="004426C1"/>
    <w:rsid w:val="004500A5"/>
    <w:rsid w:val="00451ED0"/>
    <w:rsid w:val="00454FE3"/>
    <w:rsid w:val="004B1FEC"/>
    <w:rsid w:val="004B218A"/>
    <w:rsid w:val="004C52BA"/>
    <w:rsid w:val="004D59B7"/>
    <w:rsid w:val="004F6E69"/>
    <w:rsid w:val="00502CB9"/>
    <w:rsid w:val="00512BBA"/>
    <w:rsid w:val="00524759"/>
    <w:rsid w:val="005251C6"/>
    <w:rsid w:val="005329CA"/>
    <w:rsid w:val="00533253"/>
    <w:rsid w:val="00550B07"/>
    <w:rsid w:val="00564F7C"/>
    <w:rsid w:val="00587D1B"/>
    <w:rsid w:val="005A4E8D"/>
    <w:rsid w:val="005A755B"/>
    <w:rsid w:val="005B2CBE"/>
    <w:rsid w:val="005C6A68"/>
    <w:rsid w:val="005F5CB1"/>
    <w:rsid w:val="0065525F"/>
    <w:rsid w:val="0067165B"/>
    <w:rsid w:val="006B6F7A"/>
    <w:rsid w:val="006E3149"/>
    <w:rsid w:val="006E45BD"/>
    <w:rsid w:val="006F7250"/>
    <w:rsid w:val="00711E99"/>
    <w:rsid w:val="00726536"/>
    <w:rsid w:val="0078432D"/>
    <w:rsid w:val="00796230"/>
    <w:rsid w:val="0079737B"/>
    <w:rsid w:val="00853F61"/>
    <w:rsid w:val="008661D6"/>
    <w:rsid w:val="00874EFC"/>
    <w:rsid w:val="008814FF"/>
    <w:rsid w:val="008E084E"/>
    <w:rsid w:val="008F388B"/>
    <w:rsid w:val="00910185"/>
    <w:rsid w:val="009144E5"/>
    <w:rsid w:val="00922D31"/>
    <w:rsid w:val="009333B8"/>
    <w:rsid w:val="0094289A"/>
    <w:rsid w:val="0098043E"/>
    <w:rsid w:val="009B1381"/>
    <w:rsid w:val="009E22CF"/>
    <w:rsid w:val="009E62CA"/>
    <w:rsid w:val="00A35506"/>
    <w:rsid w:val="00A41C07"/>
    <w:rsid w:val="00A42AAF"/>
    <w:rsid w:val="00A568E6"/>
    <w:rsid w:val="00A6717A"/>
    <w:rsid w:val="00AB204F"/>
    <w:rsid w:val="00AC4E03"/>
    <w:rsid w:val="00AF6D50"/>
    <w:rsid w:val="00B03FED"/>
    <w:rsid w:val="00B3134D"/>
    <w:rsid w:val="00B35352"/>
    <w:rsid w:val="00B96CF4"/>
    <w:rsid w:val="00BA27B5"/>
    <w:rsid w:val="00BC299F"/>
    <w:rsid w:val="00BD4E30"/>
    <w:rsid w:val="00BE20E7"/>
    <w:rsid w:val="00BE5BA0"/>
    <w:rsid w:val="00C147B9"/>
    <w:rsid w:val="00C1563F"/>
    <w:rsid w:val="00C15A8C"/>
    <w:rsid w:val="00C34931"/>
    <w:rsid w:val="00C96256"/>
    <w:rsid w:val="00CA0201"/>
    <w:rsid w:val="00CC1EB6"/>
    <w:rsid w:val="00CC5227"/>
    <w:rsid w:val="00CD67C4"/>
    <w:rsid w:val="00D22702"/>
    <w:rsid w:val="00D24778"/>
    <w:rsid w:val="00D56BE3"/>
    <w:rsid w:val="00D74D40"/>
    <w:rsid w:val="00D758BB"/>
    <w:rsid w:val="00D9243F"/>
    <w:rsid w:val="00DA1862"/>
    <w:rsid w:val="00DB364E"/>
    <w:rsid w:val="00DC2A49"/>
    <w:rsid w:val="00DC5E3D"/>
    <w:rsid w:val="00DC72D9"/>
    <w:rsid w:val="00DD268C"/>
    <w:rsid w:val="00DD5379"/>
    <w:rsid w:val="00DF431E"/>
    <w:rsid w:val="00E26D7A"/>
    <w:rsid w:val="00E27A48"/>
    <w:rsid w:val="00E773BE"/>
    <w:rsid w:val="00EA247D"/>
    <w:rsid w:val="00EC029E"/>
    <w:rsid w:val="00F009D0"/>
    <w:rsid w:val="00F12DD9"/>
    <w:rsid w:val="00F23112"/>
    <w:rsid w:val="00F63A1A"/>
    <w:rsid w:val="00F76ABE"/>
    <w:rsid w:val="00F85123"/>
    <w:rsid w:val="00F97FDA"/>
    <w:rsid w:val="00FA4A35"/>
    <w:rsid w:val="00FC0757"/>
    <w:rsid w:val="00FE18E3"/>
    <w:rsid w:val="00FE7FE4"/>
    <w:rsid w:val="1B6B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207</Words>
  <Characters>1181</Characters>
  <Lines>9</Lines>
  <Paragraphs>2</Paragraphs>
  <TotalTime>398</TotalTime>
  <ScaleCrop>false</ScaleCrop>
  <LinksUpToDate>false</LinksUpToDate>
  <CharactersWithSpaces>1386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2021-05-10T05:02:00Z</dcterms:created>
  <dc:creator>user</dc:creator>
  <cp:lastModifiedBy>张仙豆</cp:lastModifiedBy>
  <cp:lastPrinted>2021-06-04T05:26:00Z</cp:lastPrinted>
  <dcterms:modified xsi:type="dcterms:W3CDTF">2021-06-21T02:47:52Z</dcterms:modified>
  <cp:revision>212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23E070329BBE4746A9EB1E189BE75D59</vt:lpwstr>
  </property>
</Properties>
</file>