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left"/>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附件：</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长宁区2023年碳达峰碳中和及节能减排</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重点工作安排</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2023年是全面贯彻落实党的二十大精神的开局之年，是实施“十四五”规划的关键一年，长宁区将深入贯彻习近平生态文明思想，按照国家和上海市有关要求和部署，坚持稳中求进,积极稳妥推进碳达峰碳中和各项工作。根据《上海市2023年碳达峰碳中和及节能减排重点工作安排》，结合长宁实际，现将2023年碳达峰碳中和及节能减排重点工作安排如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r>
        <w:rPr>
          <w:rFonts w:hint="eastAsia" w:ascii="黑体" w:hAnsi="黑体" w:eastAsia="黑体" w:cs="黑体"/>
          <w:sz w:val="32"/>
          <w:szCs w:val="32"/>
        </w:rPr>
        <w:t>一、有效衔接“十四五”规划目标</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2023年，能耗强度、碳排放强度得到合理控制，与“十四五”规划目标进度相衔接。挥发性有机物重点工程减排量完成市下达目标；细颗粒物（</w:t>
      </w:r>
      <w:r>
        <w:rPr>
          <w:rFonts w:hint="default" w:ascii="Times New Roman" w:hAnsi="Times New Roman" w:eastAsia="仿宋_GB2312" w:cs="Times New Roman"/>
          <w:sz w:val="32"/>
          <w:szCs w:val="32"/>
        </w:rPr>
        <w:t>PM</w:t>
      </w:r>
      <w:r>
        <w:rPr>
          <w:rFonts w:hint="eastAsia" w:ascii="仿宋_GB2312" w:hAnsi="仿宋_GB2312" w:eastAsia="仿宋_GB2312" w:cs="仿宋_GB2312"/>
          <w:sz w:val="32"/>
          <w:szCs w:val="32"/>
        </w:rPr>
        <w:t>2.5）浓度和空气质量指数（</w:t>
      </w:r>
      <w:r>
        <w:rPr>
          <w:rFonts w:hint="eastAsia" w:ascii="Times New Roman" w:hAnsi="Times New Roman" w:eastAsia="仿宋_GB2312" w:cs="Times New Roman"/>
          <w:sz w:val="32"/>
          <w:szCs w:val="32"/>
        </w:rPr>
        <w:t>AQI</w:t>
      </w:r>
      <w:r>
        <w:rPr>
          <w:rFonts w:hint="eastAsia" w:ascii="仿宋_GB2312" w:hAnsi="仿宋_GB2312" w:eastAsia="仿宋_GB2312" w:cs="仿宋_GB2312"/>
          <w:sz w:val="32"/>
          <w:szCs w:val="32"/>
        </w:rPr>
        <w:t>）优良率达到市有关工作目标。</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r>
        <w:rPr>
          <w:rFonts w:hint="eastAsia" w:ascii="黑体" w:hAnsi="黑体" w:eastAsia="黑体" w:cs="黑体"/>
          <w:sz w:val="32"/>
          <w:szCs w:val="32"/>
        </w:rPr>
        <w:t>二、强化碳达峰碳中和综合治理</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制定发布《长宁区碳达峰实施方案》，明确重点领域、重点项目，并形成专项实施方案。持续推进低碳发展实践区、低碳社区等创建。完成2022年温室气体排放清单编制，实现街镇级清单编制全覆盖。</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r>
        <w:rPr>
          <w:rFonts w:hint="eastAsia" w:ascii="黑体" w:hAnsi="黑体" w:eastAsia="黑体" w:cs="黑体"/>
          <w:sz w:val="32"/>
          <w:szCs w:val="32"/>
        </w:rPr>
        <w:t>三、深入推进能源绿色低碳转型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推动能源结构优化，全面推动“光伏+”开发利用。制定2023年度光伏建设任务，全年完成光伏建设8422千瓦。打造光伏示范标杆项目，推进光伏建筑一体化试点，落实市有关规定，确保新建项目落实光伏建设要求。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r>
        <w:rPr>
          <w:rFonts w:hint="eastAsia" w:ascii="黑体" w:hAnsi="黑体" w:eastAsia="黑体" w:cs="黑体"/>
          <w:sz w:val="32"/>
          <w:szCs w:val="32"/>
        </w:rPr>
        <w:t>四、统筹推进能耗双控和产业节能降碳</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积极布局绿色低碳新赛道，持续优化双碳产业发展环境，加大绿色低碳企业招商力度。推动重点用能单位实施能效提升计划，鼓励开展自身碳排放核算。强化重点用能单位能耗双控，实施2022年度重点用能单位节能目标责任考核。开展重点用能单位能耗在线监测和计量联合行政检查。</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r>
        <w:rPr>
          <w:rFonts w:hint="eastAsia" w:ascii="黑体" w:hAnsi="黑体" w:eastAsia="黑体" w:cs="黑体"/>
          <w:sz w:val="32"/>
          <w:szCs w:val="32"/>
        </w:rPr>
        <w:t>五、加强建筑节能降碳</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推动超低能耗建筑规模化发展，持续推进以调适为主的既有公共建筑节能改造，引导新建建筑运行能效达到先进水平。支持企业、机构和建筑发起建立长三角</w:t>
      </w:r>
      <w:r>
        <w:rPr>
          <w:rFonts w:hint="eastAsia" w:ascii="Times New Roman" w:hAnsi="Times New Roman" w:eastAsia="仿宋_GB2312" w:cs="Times New Roman"/>
          <w:sz w:val="32"/>
          <w:szCs w:val="32"/>
        </w:rPr>
        <w:t>CN</w:t>
      </w:r>
      <w:r>
        <w:rPr>
          <w:rFonts w:hint="eastAsia" w:ascii="仿宋_GB2312" w:hAnsi="仿宋_GB2312" w:eastAsia="仿宋_GB2312" w:cs="仿宋_GB2312"/>
          <w:sz w:val="32"/>
          <w:szCs w:val="32"/>
        </w:rPr>
        <w:t>100-建筑碳中和倡议机制。持续推进绿色商场、绿色餐厅和绿色生态城区等创建。</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r>
        <w:rPr>
          <w:rFonts w:hint="eastAsia" w:ascii="黑体" w:hAnsi="黑体" w:eastAsia="黑体" w:cs="黑体"/>
          <w:sz w:val="32"/>
          <w:szCs w:val="32"/>
        </w:rPr>
        <w:t>六、推进交通领域绿色低碳</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加快城市轨道交通、中运量公交系统等大容量公共交通基础设施建设。结合“15分钟社区美好生活圈”建设，持续完善自行车专用道和人行步道等慢行系统。</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r>
        <w:rPr>
          <w:rFonts w:hint="eastAsia" w:ascii="黑体" w:hAnsi="黑体" w:eastAsia="黑体" w:cs="黑体"/>
          <w:sz w:val="32"/>
          <w:szCs w:val="32"/>
        </w:rPr>
        <w:t>七、加强公共机构节能降碳</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加强机关事业单位用能设备节能管理和行为节能，持续开展公共机构能源审计，推进节约型公共机构建设。加快绿色学校创建。推进各医疗单位实施节能改造和优化能源管理。</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r>
        <w:rPr>
          <w:rFonts w:hint="eastAsia" w:ascii="黑体" w:hAnsi="黑体" w:eastAsia="黑体" w:cs="黑体"/>
          <w:sz w:val="32"/>
          <w:szCs w:val="32"/>
        </w:rPr>
        <w:t>八、发展循环经济助力降碳</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落实市塑料污染治理工作推进机制相关工作要求，明确塑料污染重点工作。加强商场、超市、药店、书店和展会五大重点场景禁止使用一次性塑料购物袋工作落实。</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r>
        <w:rPr>
          <w:rFonts w:hint="eastAsia" w:ascii="黑体" w:hAnsi="黑体" w:eastAsia="黑体" w:cs="黑体"/>
          <w:sz w:val="32"/>
          <w:szCs w:val="32"/>
        </w:rPr>
        <w:t>九、推动绿色低碳科技创新</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支持企业承担国家、上海市绿色低碳重大科技项目。鼓励节能减排研发企业申报高新技术企业、高新技术成果转化项目、重点新产品等。积极争取国家、市级碳达峰碳中和重点实验室、技术创新中心、研发与转化功能型平台、碳中和研究机构等落地长宁。</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r>
        <w:rPr>
          <w:rFonts w:hint="eastAsia" w:ascii="黑体" w:hAnsi="黑体" w:eastAsia="黑体" w:cs="黑体"/>
          <w:sz w:val="32"/>
          <w:szCs w:val="32"/>
        </w:rPr>
        <w:t>十、巩固提升碳汇能力</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推进千座公园计划，推进一纺机地块公共绿地建设、推进镜花园等口袋公园、外环林带生态绿道驿站等建设。增强绿道功能效益，做好常态化精细化养护管理。</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r>
        <w:rPr>
          <w:rFonts w:hint="eastAsia" w:ascii="黑体" w:hAnsi="黑体" w:eastAsia="黑体" w:cs="黑体"/>
          <w:sz w:val="32"/>
          <w:szCs w:val="32"/>
        </w:rPr>
        <w:t>十一、发动全民共同参与</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组织开展全国节能宣传周等主题宣传活动。深入推进绿色社区及社区生境花园创建。积极参加节能低碳交流活动，加大对国内外知名节能低碳活动的引入力度。鼓励餐饮、商超、旅游、交通等消费领域开发碳普惠应用场景。</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r>
        <w:rPr>
          <w:rFonts w:hint="eastAsia" w:ascii="黑体" w:hAnsi="黑体" w:eastAsia="黑体" w:cs="黑体"/>
          <w:sz w:val="32"/>
          <w:szCs w:val="32"/>
        </w:rPr>
        <w:t>十二、强化主要污染物减排</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继续实行建设项目主要污染物排放总量指标等量或减量替代制度。持续推进环保三年行动计划、清洁空气行动计划等项目，大力推动企业开展清洁生产审核。强化工业污染物减排和移动源污染物减排。完善商业体餐饮集约化管理绿色指数评价体系。</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r>
        <w:rPr>
          <w:rFonts w:hint="eastAsia" w:ascii="黑体" w:hAnsi="黑体" w:eastAsia="黑体" w:cs="黑体"/>
          <w:sz w:val="32"/>
          <w:szCs w:val="32"/>
        </w:rPr>
        <w:t>十三、强化责任落实并完善基础保障措施</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开展节能低碳和循环经济“十四五”专项规划中期评估。强化能耗和碳排放目标责任，将目标任务落实情况纳入区机关绩效考核体系和区政府重点工作。做好市对区碳达峰碳中和及节能评价相关工作。坚决遏制两高一低项目盲目发展，持续推进虚拟货币挖矿整治活动。进一步加大节能低碳资金投入，积极组织开展项目申报。</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1、2023年长宁区节能减排降碳工作主要目标</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2、2023年长宁区碳达峰碳中和及节能减排重点工作任务和分工表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sectPr>
          <w:footerReference r:id="rId3" w:type="default"/>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附件</w:t>
      </w:r>
      <w:r>
        <w:rPr>
          <w:rFonts w:hint="eastAsia" w:ascii="仿宋_GB2312" w:hAnsi="仿宋_GB2312" w:eastAsia="仿宋_GB2312" w:cs="仿宋_GB2312"/>
          <w:sz w:val="32"/>
          <w:szCs w:val="32"/>
          <w:lang w:val="en-US" w:eastAsia="zh-CN"/>
        </w:rPr>
        <w:t>1：</w:t>
      </w:r>
    </w:p>
    <w:p>
      <w:pPr>
        <w:widowControl/>
        <w:snapToGrid w:val="0"/>
        <w:jc w:val="center"/>
        <w:rPr>
          <w:rFonts w:hint="eastAsia" w:ascii="方正小标宋简体" w:hAnsi="方正小标宋简体" w:eastAsia="方正小标宋简体" w:cs="方正小标宋简体"/>
          <w:b w:val="0"/>
          <w:bCs/>
          <w:sz w:val="30"/>
          <w:szCs w:val="30"/>
          <w:lang w:bidi="ar"/>
        </w:rPr>
      </w:pPr>
      <w:r>
        <w:rPr>
          <w:rFonts w:hint="eastAsia" w:ascii="方正小标宋简体" w:hAnsi="方正小标宋简体" w:eastAsia="方正小标宋简体" w:cs="方正小标宋简体"/>
          <w:b w:val="0"/>
          <w:bCs/>
          <w:sz w:val="30"/>
          <w:szCs w:val="30"/>
          <w:lang w:bidi="ar"/>
        </w:rPr>
        <w:t>2023年</w:t>
      </w:r>
      <w:r>
        <w:rPr>
          <w:rFonts w:hint="eastAsia" w:ascii="方正小标宋简体" w:hAnsi="方正小标宋简体" w:eastAsia="方正小标宋简体" w:cs="方正小标宋简体"/>
          <w:b w:val="0"/>
          <w:bCs/>
          <w:sz w:val="30"/>
          <w:szCs w:val="30"/>
          <w:lang w:eastAsia="zh-CN" w:bidi="ar"/>
        </w:rPr>
        <w:t>长宁区</w:t>
      </w:r>
      <w:r>
        <w:rPr>
          <w:rFonts w:hint="eastAsia" w:ascii="方正小标宋简体" w:hAnsi="方正小标宋简体" w:eastAsia="方正小标宋简体" w:cs="方正小标宋简体"/>
          <w:b w:val="0"/>
          <w:bCs/>
          <w:sz w:val="30"/>
          <w:szCs w:val="30"/>
          <w:lang w:bidi="ar"/>
        </w:rPr>
        <w:t>节能减排降碳工作主要目标</w:t>
      </w:r>
    </w:p>
    <w:tbl>
      <w:tblPr>
        <w:tblStyle w:val="5"/>
        <w:tblW w:w="826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501"/>
        <w:gridCol w:w="1536"/>
        <w:gridCol w:w="3144"/>
        <w:gridCol w:w="23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0" w:hRule="atLeast"/>
          <w:jc w:val="center"/>
        </w:trPr>
        <w:tc>
          <w:tcPr>
            <w:tcW w:w="2795" w:type="dxa"/>
            <w:gridSpan w:val="3"/>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pPr>
              <w:widowControl/>
              <w:adjustRightInd w:val="0"/>
              <w:snapToGrid w:val="0"/>
              <w:spacing w:line="280" w:lineRule="exact"/>
              <w:jc w:val="center"/>
              <w:rPr>
                <w:rFonts w:ascii="仿宋" w:hAnsi="仿宋" w:eastAsia="仿宋_GB2312"/>
                <w:b/>
                <w:kern w:val="0"/>
                <w:sz w:val="24"/>
                <w:szCs w:val="24"/>
              </w:rPr>
            </w:pPr>
            <w:r>
              <w:rPr>
                <w:rFonts w:ascii="仿宋" w:hAnsi="仿宋" w:eastAsia="仿宋_GB2312"/>
                <w:b/>
                <w:kern w:val="0"/>
                <w:sz w:val="24"/>
                <w:szCs w:val="24"/>
                <w:lang w:bidi="ar"/>
              </w:rPr>
              <w:t>全市及各领域</w:t>
            </w:r>
          </w:p>
        </w:tc>
        <w:tc>
          <w:tcPr>
            <w:tcW w:w="3144" w:type="dxa"/>
            <w:tcBorders>
              <w:top w:val="single" w:color="auto" w:sz="4" w:space="0"/>
              <w:left w:val="nil"/>
              <w:bottom w:val="single" w:color="auto" w:sz="4" w:space="0"/>
              <w:right w:val="single" w:color="auto" w:sz="4" w:space="0"/>
            </w:tcBorders>
            <w:vAlign w:val="center"/>
          </w:tcPr>
          <w:p>
            <w:pPr>
              <w:adjustRightInd w:val="0"/>
              <w:snapToGrid w:val="0"/>
              <w:spacing w:line="280" w:lineRule="exact"/>
              <w:jc w:val="center"/>
              <w:rPr>
                <w:rFonts w:ascii="仿宋" w:hAnsi="仿宋" w:eastAsia="仿宋_GB2312"/>
                <w:b/>
                <w:kern w:val="0"/>
                <w:sz w:val="24"/>
                <w:szCs w:val="24"/>
              </w:rPr>
            </w:pPr>
            <w:r>
              <w:rPr>
                <w:rFonts w:ascii="仿宋" w:hAnsi="仿宋" w:eastAsia="仿宋_GB2312"/>
                <w:b/>
                <w:kern w:val="0"/>
                <w:sz w:val="24"/>
                <w:szCs w:val="24"/>
                <w:lang w:bidi="ar"/>
              </w:rPr>
              <w:t>节能减排降碳工作目标</w:t>
            </w:r>
          </w:p>
        </w:tc>
        <w:tc>
          <w:tcPr>
            <w:tcW w:w="2324" w:type="dxa"/>
            <w:tcBorders>
              <w:top w:val="single" w:color="auto" w:sz="4" w:space="0"/>
              <w:left w:val="nil"/>
              <w:bottom w:val="single" w:color="auto" w:sz="4" w:space="0"/>
              <w:right w:val="single" w:color="auto" w:sz="4" w:space="0"/>
            </w:tcBorders>
            <w:vAlign w:val="center"/>
          </w:tcPr>
          <w:p>
            <w:pPr>
              <w:widowControl/>
              <w:adjustRightInd w:val="0"/>
              <w:snapToGrid w:val="0"/>
              <w:spacing w:line="280" w:lineRule="exact"/>
              <w:jc w:val="center"/>
              <w:rPr>
                <w:rFonts w:ascii="仿宋" w:hAnsi="仿宋" w:eastAsia="仿宋_GB2312"/>
                <w:b/>
                <w:kern w:val="0"/>
                <w:sz w:val="24"/>
                <w:szCs w:val="24"/>
              </w:rPr>
            </w:pPr>
            <w:r>
              <w:rPr>
                <w:rFonts w:ascii="仿宋" w:hAnsi="仿宋" w:eastAsia="仿宋_GB2312"/>
                <w:b/>
                <w:kern w:val="0"/>
                <w:sz w:val="24"/>
                <w:szCs w:val="24"/>
                <w:lang w:bidi="ar"/>
              </w:rPr>
              <w:t>责任部门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0" w:hRule="atLeast"/>
          <w:jc w:val="center"/>
        </w:trPr>
        <w:tc>
          <w:tcPr>
            <w:tcW w:w="758" w:type="dxa"/>
            <w:vMerge w:val="restart"/>
            <w:tcBorders>
              <w:top w:val="nil"/>
              <w:left w:val="single" w:color="auto" w:sz="4" w:space="0"/>
              <w:bottom w:val="single" w:color="auto" w:sz="4" w:space="0"/>
              <w:right w:val="single" w:color="auto" w:sz="4" w:space="0"/>
            </w:tcBorders>
            <w:tcMar>
              <w:top w:w="15" w:type="dxa"/>
              <w:left w:w="15" w:type="dxa"/>
              <w:bottom w:w="15" w:type="dxa"/>
              <w:right w:w="15" w:type="dxa"/>
            </w:tcMar>
            <w:vAlign w:val="center"/>
          </w:tcPr>
          <w:p>
            <w:pPr>
              <w:widowControl/>
              <w:adjustRightInd w:val="0"/>
              <w:snapToGrid w:val="0"/>
              <w:spacing w:line="240" w:lineRule="exact"/>
              <w:rPr>
                <w:rFonts w:ascii="仿宋" w:hAnsi="仿宋" w:eastAsia="仿宋_GB2312"/>
                <w:kern w:val="0"/>
                <w:sz w:val="24"/>
                <w:szCs w:val="24"/>
              </w:rPr>
            </w:pPr>
            <w:r>
              <w:rPr>
                <w:rFonts w:ascii="仿宋" w:hAnsi="仿宋" w:eastAsia="仿宋_GB2312"/>
                <w:kern w:val="0"/>
                <w:sz w:val="24"/>
                <w:szCs w:val="24"/>
                <w:lang w:bidi="ar"/>
              </w:rPr>
              <w:t>节能</w:t>
            </w:r>
          </w:p>
          <w:p>
            <w:pPr>
              <w:widowControl/>
              <w:adjustRightInd w:val="0"/>
              <w:snapToGrid w:val="0"/>
              <w:spacing w:line="240" w:lineRule="exact"/>
              <w:rPr>
                <w:rFonts w:ascii="仿宋" w:hAnsi="仿宋" w:eastAsia="仿宋_GB2312"/>
                <w:kern w:val="0"/>
                <w:sz w:val="24"/>
                <w:szCs w:val="24"/>
              </w:rPr>
            </w:pPr>
            <w:r>
              <w:rPr>
                <w:rFonts w:ascii="仿宋" w:hAnsi="仿宋" w:eastAsia="仿宋_GB2312"/>
                <w:kern w:val="0"/>
                <w:sz w:val="24"/>
                <w:szCs w:val="24"/>
                <w:lang w:bidi="ar"/>
              </w:rPr>
              <w:t>降碳</w:t>
            </w:r>
          </w:p>
        </w:tc>
        <w:tc>
          <w:tcPr>
            <w:tcW w:w="2037" w:type="dxa"/>
            <w:gridSpan w:val="2"/>
            <w:vMerge w:val="restart"/>
            <w:tcBorders>
              <w:top w:val="nil"/>
              <w:left w:val="nil"/>
              <w:bottom w:val="single" w:color="auto" w:sz="4" w:space="0"/>
              <w:right w:val="single" w:color="auto" w:sz="4" w:space="0"/>
            </w:tcBorders>
            <w:tcMar>
              <w:top w:w="15" w:type="dxa"/>
              <w:left w:w="15" w:type="dxa"/>
              <w:bottom w:w="15" w:type="dxa"/>
              <w:right w:w="15" w:type="dxa"/>
            </w:tcMar>
            <w:vAlign w:val="center"/>
          </w:tcPr>
          <w:p>
            <w:pPr>
              <w:widowControl/>
              <w:adjustRightInd w:val="0"/>
              <w:snapToGrid w:val="0"/>
              <w:spacing w:line="240" w:lineRule="exact"/>
              <w:rPr>
                <w:rFonts w:hint="eastAsia" w:ascii="仿宋" w:hAnsi="仿宋" w:eastAsia="仿宋_GB2312"/>
                <w:kern w:val="0"/>
                <w:sz w:val="24"/>
                <w:szCs w:val="24"/>
                <w:lang w:eastAsia="zh-CN"/>
              </w:rPr>
            </w:pPr>
            <w:r>
              <w:rPr>
                <w:rFonts w:hint="eastAsia" w:ascii="仿宋" w:hAnsi="仿宋" w:eastAsia="仿宋_GB2312"/>
                <w:kern w:val="0"/>
                <w:sz w:val="24"/>
                <w:szCs w:val="24"/>
                <w:lang w:eastAsia="zh-CN" w:bidi="ar"/>
              </w:rPr>
              <w:t>全区</w:t>
            </w:r>
          </w:p>
        </w:tc>
        <w:tc>
          <w:tcPr>
            <w:tcW w:w="3144" w:type="dxa"/>
            <w:tcBorders>
              <w:top w:val="single" w:color="auto" w:sz="4" w:space="0"/>
              <w:left w:val="nil"/>
              <w:bottom w:val="single" w:color="auto" w:sz="4" w:space="0"/>
              <w:right w:val="single" w:color="auto" w:sz="4" w:space="0"/>
            </w:tcBorders>
            <w:vAlign w:val="center"/>
          </w:tcPr>
          <w:p>
            <w:pPr>
              <w:adjustRightInd w:val="0"/>
              <w:snapToGrid w:val="0"/>
              <w:spacing w:line="240" w:lineRule="exact"/>
              <w:rPr>
                <w:rFonts w:ascii="仿宋" w:hAnsi="仿宋" w:eastAsia="仿宋_GB2312"/>
                <w:kern w:val="0"/>
                <w:sz w:val="24"/>
                <w:szCs w:val="24"/>
                <w:lang w:bidi="ar"/>
              </w:rPr>
            </w:pPr>
            <w:r>
              <w:rPr>
                <w:rFonts w:hint="eastAsia" w:ascii="仿宋" w:hAnsi="仿宋" w:eastAsia="仿宋_GB2312"/>
                <w:kern w:val="0"/>
                <w:sz w:val="24"/>
                <w:szCs w:val="24"/>
                <w:lang w:bidi="ar"/>
              </w:rPr>
              <w:t>单位</w:t>
            </w:r>
            <w:r>
              <w:rPr>
                <w:rFonts w:hint="eastAsia" w:ascii="仿宋" w:hAnsi="仿宋" w:eastAsia="仿宋_GB2312"/>
                <w:kern w:val="0"/>
                <w:sz w:val="24"/>
                <w:szCs w:val="24"/>
                <w:lang w:eastAsia="zh-CN" w:bidi="ar"/>
              </w:rPr>
              <w:t>生产总值能耗进一步下降</w:t>
            </w:r>
          </w:p>
        </w:tc>
        <w:tc>
          <w:tcPr>
            <w:tcW w:w="2324" w:type="dxa"/>
            <w:tcBorders>
              <w:top w:val="single" w:color="auto" w:sz="4" w:space="0"/>
              <w:left w:val="nil"/>
              <w:bottom w:val="single" w:color="auto" w:sz="4" w:space="0"/>
              <w:right w:val="single" w:color="auto" w:sz="4" w:space="0"/>
            </w:tcBorders>
            <w:vAlign w:val="center"/>
          </w:tcPr>
          <w:p>
            <w:pPr>
              <w:adjustRightInd w:val="0"/>
              <w:snapToGrid w:val="0"/>
              <w:spacing w:line="240" w:lineRule="exact"/>
              <w:rPr>
                <w:rFonts w:hint="eastAsia" w:ascii="仿宋" w:hAnsi="仿宋" w:eastAsia="仿宋_GB2312"/>
                <w:kern w:val="0"/>
                <w:sz w:val="24"/>
                <w:szCs w:val="24"/>
                <w:lang w:eastAsia="zh-CN" w:bidi="ar"/>
              </w:rPr>
            </w:pPr>
            <w:r>
              <w:rPr>
                <w:rFonts w:hint="eastAsia" w:ascii="仿宋" w:hAnsi="仿宋" w:eastAsia="仿宋_GB2312"/>
                <w:kern w:val="0"/>
                <w:sz w:val="24"/>
                <w:szCs w:val="24"/>
                <w:lang w:eastAsia="zh-CN" w:bidi="ar"/>
              </w:rPr>
              <w:t>区发改委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0" w:hRule="atLeast"/>
          <w:jc w:val="center"/>
        </w:trPr>
        <w:tc>
          <w:tcPr>
            <w:tcW w:w="758" w:type="dxa"/>
            <w:vMerge w:val="continue"/>
            <w:tcBorders>
              <w:top w:val="nil"/>
              <w:left w:val="single" w:color="auto" w:sz="4" w:space="0"/>
              <w:bottom w:val="single" w:color="auto" w:sz="4" w:space="0"/>
              <w:right w:val="single" w:color="auto" w:sz="4" w:space="0"/>
            </w:tcBorders>
            <w:tcMar>
              <w:top w:w="15" w:type="dxa"/>
              <w:left w:w="15" w:type="dxa"/>
              <w:bottom w:w="15" w:type="dxa"/>
              <w:right w:w="15" w:type="dxa"/>
            </w:tcMar>
            <w:vAlign w:val="center"/>
          </w:tcPr>
          <w:p>
            <w:pPr>
              <w:spacing w:line="240" w:lineRule="exact"/>
              <w:rPr>
                <w:rFonts w:ascii="仿宋" w:hAnsi="仿宋" w:eastAsia="仿宋_GB2312"/>
                <w:sz w:val="20"/>
              </w:rPr>
            </w:pPr>
          </w:p>
        </w:tc>
        <w:tc>
          <w:tcPr>
            <w:tcW w:w="2037" w:type="dxa"/>
            <w:gridSpan w:val="2"/>
            <w:vMerge w:val="continue"/>
            <w:tcBorders>
              <w:top w:val="nil"/>
              <w:left w:val="nil"/>
              <w:bottom w:val="single" w:color="auto" w:sz="4" w:space="0"/>
              <w:right w:val="single" w:color="auto" w:sz="4" w:space="0"/>
            </w:tcBorders>
            <w:tcMar>
              <w:top w:w="15" w:type="dxa"/>
              <w:left w:w="15" w:type="dxa"/>
              <w:bottom w:w="15" w:type="dxa"/>
              <w:right w:w="15" w:type="dxa"/>
            </w:tcMar>
            <w:vAlign w:val="center"/>
          </w:tcPr>
          <w:p>
            <w:pPr>
              <w:spacing w:line="240" w:lineRule="exact"/>
              <w:rPr>
                <w:rFonts w:ascii="仿宋" w:hAnsi="仿宋" w:eastAsia="仿宋_GB2312"/>
                <w:sz w:val="20"/>
              </w:rPr>
            </w:pPr>
          </w:p>
        </w:tc>
        <w:tc>
          <w:tcPr>
            <w:tcW w:w="3144" w:type="dxa"/>
            <w:tcBorders>
              <w:top w:val="single" w:color="auto" w:sz="4" w:space="0"/>
              <w:left w:val="nil"/>
              <w:bottom w:val="single" w:color="auto" w:sz="4" w:space="0"/>
              <w:right w:val="single" w:color="auto" w:sz="4" w:space="0"/>
            </w:tcBorders>
            <w:vAlign w:val="center"/>
          </w:tcPr>
          <w:p>
            <w:pPr>
              <w:adjustRightInd w:val="0"/>
              <w:snapToGrid w:val="0"/>
              <w:spacing w:line="240" w:lineRule="exact"/>
              <w:rPr>
                <w:rFonts w:hint="eastAsia" w:ascii="仿宋" w:hAnsi="仿宋" w:eastAsia="仿宋_GB2312"/>
                <w:kern w:val="0"/>
                <w:sz w:val="24"/>
                <w:szCs w:val="24"/>
                <w:lang w:eastAsia="zh-CN" w:bidi="ar"/>
              </w:rPr>
            </w:pPr>
            <w:r>
              <w:rPr>
                <w:rFonts w:hint="eastAsia" w:ascii="仿宋" w:hAnsi="仿宋" w:eastAsia="仿宋_GB2312"/>
                <w:kern w:val="0"/>
                <w:sz w:val="24"/>
                <w:szCs w:val="24"/>
                <w:lang w:eastAsia="zh-CN" w:bidi="ar"/>
              </w:rPr>
              <w:t>单位生产总值</w:t>
            </w:r>
            <w:r>
              <w:rPr>
                <w:rFonts w:ascii="仿宋" w:hAnsi="仿宋" w:eastAsia="仿宋_GB2312"/>
                <w:kern w:val="0"/>
                <w:sz w:val="24"/>
                <w:szCs w:val="24"/>
                <w:lang w:bidi="ar"/>
              </w:rPr>
              <w:t>二氧化碳排放量</w:t>
            </w:r>
            <w:r>
              <w:rPr>
                <w:rFonts w:hint="eastAsia" w:ascii="仿宋" w:hAnsi="仿宋" w:eastAsia="仿宋_GB2312"/>
                <w:kern w:val="0"/>
                <w:sz w:val="24"/>
                <w:szCs w:val="24"/>
                <w:lang w:eastAsia="zh-CN" w:bidi="ar"/>
              </w:rPr>
              <w:t>进一步下降</w:t>
            </w:r>
          </w:p>
        </w:tc>
        <w:tc>
          <w:tcPr>
            <w:tcW w:w="2324" w:type="dxa"/>
            <w:tcBorders>
              <w:top w:val="single" w:color="auto" w:sz="4" w:space="0"/>
              <w:left w:val="nil"/>
              <w:bottom w:val="single" w:color="auto" w:sz="4" w:space="0"/>
              <w:right w:val="single" w:color="auto" w:sz="4" w:space="0"/>
            </w:tcBorders>
            <w:vAlign w:val="center"/>
          </w:tcPr>
          <w:p>
            <w:pPr>
              <w:adjustRightInd w:val="0"/>
              <w:snapToGrid w:val="0"/>
              <w:spacing w:line="240" w:lineRule="exact"/>
              <w:rPr>
                <w:rFonts w:hint="eastAsia" w:ascii="仿宋" w:hAnsi="仿宋" w:eastAsia="仿宋_GB2312"/>
                <w:kern w:val="0"/>
                <w:sz w:val="24"/>
                <w:szCs w:val="24"/>
                <w:lang w:eastAsia="zh-CN" w:bidi="ar"/>
              </w:rPr>
            </w:pPr>
            <w:r>
              <w:rPr>
                <w:rFonts w:hint="eastAsia" w:ascii="仿宋" w:hAnsi="仿宋" w:eastAsia="仿宋_GB2312"/>
                <w:kern w:val="0"/>
                <w:sz w:val="24"/>
                <w:szCs w:val="24"/>
                <w:lang w:eastAsia="zh-CN" w:bidi="ar"/>
              </w:rPr>
              <w:t>区生态环境局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0" w:hRule="atLeast"/>
          <w:jc w:val="center"/>
        </w:trPr>
        <w:tc>
          <w:tcPr>
            <w:tcW w:w="758" w:type="dxa"/>
            <w:vMerge w:val="continue"/>
            <w:tcBorders>
              <w:top w:val="nil"/>
              <w:left w:val="single" w:color="auto" w:sz="4" w:space="0"/>
              <w:bottom w:val="single" w:color="auto" w:sz="4" w:space="0"/>
              <w:right w:val="single" w:color="auto" w:sz="4" w:space="0"/>
            </w:tcBorders>
            <w:tcMar>
              <w:top w:w="15" w:type="dxa"/>
              <w:left w:w="15" w:type="dxa"/>
              <w:bottom w:w="15" w:type="dxa"/>
              <w:right w:w="15" w:type="dxa"/>
            </w:tcMar>
            <w:vAlign w:val="center"/>
          </w:tcPr>
          <w:p>
            <w:pPr>
              <w:spacing w:line="240" w:lineRule="exact"/>
              <w:rPr>
                <w:rFonts w:ascii="仿宋" w:hAnsi="仿宋" w:eastAsia="仿宋_GB2312"/>
                <w:sz w:val="20"/>
              </w:rPr>
            </w:pPr>
          </w:p>
        </w:tc>
        <w:tc>
          <w:tcPr>
            <w:tcW w:w="2037" w:type="dxa"/>
            <w:gridSpan w:val="2"/>
            <w:tcBorders>
              <w:top w:val="single" w:color="auto" w:sz="4" w:space="0"/>
              <w:left w:val="nil"/>
              <w:bottom w:val="single" w:color="auto" w:sz="4" w:space="0"/>
              <w:right w:val="single" w:color="auto" w:sz="4" w:space="0"/>
            </w:tcBorders>
            <w:tcMar>
              <w:top w:w="15" w:type="dxa"/>
              <w:left w:w="15" w:type="dxa"/>
              <w:bottom w:w="15" w:type="dxa"/>
              <w:right w:w="15" w:type="dxa"/>
            </w:tcMar>
            <w:vAlign w:val="center"/>
          </w:tcPr>
          <w:p>
            <w:pPr>
              <w:adjustRightInd w:val="0"/>
              <w:snapToGrid w:val="0"/>
              <w:spacing w:line="240" w:lineRule="exact"/>
              <w:rPr>
                <w:rFonts w:ascii="仿宋" w:hAnsi="仿宋" w:eastAsia="仿宋_GB2312"/>
                <w:kern w:val="0"/>
                <w:sz w:val="24"/>
                <w:szCs w:val="24"/>
              </w:rPr>
            </w:pPr>
            <w:r>
              <w:rPr>
                <w:rFonts w:ascii="仿宋" w:hAnsi="仿宋" w:eastAsia="仿宋_GB2312"/>
                <w:kern w:val="0"/>
                <w:sz w:val="24"/>
                <w:szCs w:val="24"/>
                <w:lang w:bidi="ar"/>
              </w:rPr>
              <w:t>工业和通信业</w:t>
            </w:r>
          </w:p>
          <w:p>
            <w:pPr>
              <w:adjustRightInd w:val="0"/>
              <w:snapToGrid w:val="0"/>
              <w:spacing w:line="240" w:lineRule="exact"/>
              <w:rPr>
                <w:rFonts w:ascii="仿宋" w:hAnsi="仿宋" w:eastAsia="仿宋_GB2312"/>
                <w:kern w:val="0"/>
                <w:sz w:val="24"/>
                <w:szCs w:val="24"/>
              </w:rPr>
            </w:pPr>
            <w:r>
              <w:rPr>
                <w:rFonts w:ascii="仿宋" w:hAnsi="仿宋" w:eastAsia="仿宋_GB2312"/>
                <w:kern w:val="0"/>
                <w:sz w:val="24"/>
                <w:szCs w:val="24"/>
                <w:lang w:bidi="ar"/>
              </w:rPr>
              <w:t>（含</w:t>
            </w:r>
            <w:r>
              <w:rPr>
                <w:rFonts w:hint="default" w:ascii="Times New Roman" w:hAnsi="Times New Roman" w:eastAsia="仿宋_GB2312" w:cs="Times New Roman"/>
                <w:kern w:val="0"/>
                <w:sz w:val="24"/>
                <w:szCs w:val="24"/>
                <w:lang w:bidi="ar"/>
              </w:rPr>
              <w:t>IDC</w:t>
            </w:r>
            <w:r>
              <w:rPr>
                <w:rFonts w:ascii="仿宋" w:hAnsi="仿宋" w:eastAsia="仿宋_GB2312"/>
                <w:kern w:val="0"/>
                <w:sz w:val="24"/>
                <w:szCs w:val="24"/>
                <w:lang w:bidi="ar"/>
              </w:rPr>
              <w:t>及5G基站）</w:t>
            </w:r>
          </w:p>
        </w:tc>
        <w:tc>
          <w:tcPr>
            <w:tcW w:w="3144" w:type="dxa"/>
            <w:tcBorders>
              <w:top w:val="single" w:color="auto" w:sz="4" w:space="0"/>
              <w:left w:val="nil"/>
              <w:bottom w:val="single" w:color="auto" w:sz="4" w:space="0"/>
              <w:right w:val="single" w:color="auto" w:sz="4" w:space="0"/>
            </w:tcBorders>
            <w:vAlign w:val="center"/>
          </w:tcPr>
          <w:p>
            <w:pPr>
              <w:adjustRightInd w:val="0"/>
              <w:snapToGrid w:val="0"/>
              <w:spacing w:line="240" w:lineRule="exact"/>
              <w:rPr>
                <w:rFonts w:ascii="仿宋" w:hAnsi="仿宋" w:eastAsia="仿宋_GB2312"/>
                <w:kern w:val="0"/>
                <w:sz w:val="24"/>
                <w:szCs w:val="24"/>
              </w:rPr>
            </w:pPr>
            <w:r>
              <w:rPr>
                <w:rFonts w:ascii="仿宋" w:hAnsi="仿宋" w:eastAsia="仿宋_GB2312"/>
                <w:kern w:val="0"/>
                <w:sz w:val="24"/>
                <w:szCs w:val="24"/>
                <w:lang w:bidi="ar"/>
              </w:rPr>
              <w:t>规上工业单位增加值能耗</w:t>
            </w:r>
            <w:r>
              <w:rPr>
                <w:rFonts w:hint="eastAsia" w:ascii="仿宋" w:hAnsi="仿宋" w:eastAsia="仿宋_GB2312"/>
                <w:kern w:val="0"/>
                <w:sz w:val="24"/>
                <w:szCs w:val="24"/>
                <w:lang w:eastAsia="zh-CN" w:bidi="ar"/>
              </w:rPr>
              <w:t>进一步下降</w:t>
            </w:r>
          </w:p>
        </w:tc>
        <w:tc>
          <w:tcPr>
            <w:tcW w:w="2324"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exact"/>
              <w:rPr>
                <w:rFonts w:hint="eastAsia" w:ascii="仿宋" w:hAnsi="仿宋" w:eastAsia="仿宋_GB2312"/>
                <w:kern w:val="0"/>
                <w:sz w:val="24"/>
                <w:szCs w:val="24"/>
                <w:lang w:eastAsia="zh-CN"/>
              </w:rPr>
            </w:pPr>
            <w:r>
              <w:rPr>
                <w:rFonts w:hint="eastAsia" w:ascii="仿宋" w:hAnsi="仿宋" w:eastAsia="仿宋_GB2312"/>
                <w:kern w:val="0"/>
                <w:sz w:val="24"/>
                <w:szCs w:val="24"/>
                <w:lang w:eastAsia="zh-CN" w:bidi="ar"/>
              </w:rPr>
              <w:t>区商务委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0" w:hRule="atLeast"/>
          <w:jc w:val="center"/>
        </w:trPr>
        <w:tc>
          <w:tcPr>
            <w:tcW w:w="758" w:type="dxa"/>
            <w:vMerge w:val="continue"/>
            <w:tcBorders>
              <w:top w:val="nil"/>
              <w:left w:val="single" w:color="auto" w:sz="4" w:space="0"/>
              <w:bottom w:val="single" w:color="auto" w:sz="4" w:space="0"/>
              <w:right w:val="single" w:color="auto" w:sz="4" w:space="0"/>
            </w:tcBorders>
            <w:tcMar>
              <w:top w:w="15" w:type="dxa"/>
              <w:left w:w="15" w:type="dxa"/>
              <w:bottom w:w="15" w:type="dxa"/>
              <w:right w:w="15" w:type="dxa"/>
            </w:tcMar>
            <w:vAlign w:val="center"/>
          </w:tcPr>
          <w:p>
            <w:pPr>
              <w:spacing w:line="240" w:lineRule="exact"/>
              <w:rPr>
                <w:rFonts w:ascii="仿宋" w:hAnsi="仿宋" w:eastAsia="仿宋_GB2312"/>
                <w:sz w:val="20"/>
              </w:rPr>
            </w:pPr>
          </w:p>
        </w:tc>
        <w:tc>
          <w:tcPr>
            <w:tcW w:w="2037" w:type="dxa"/>
            <w:gridSpan w:val="2"/>
            <w:tcBorders>
              <w:top w:val="single" w:color="auto" w:sz="4" w:space="0"/>
              <w:left w:val="nil"/>
              <w:bottom w:val="single" w:color="auto" w:sz="4" w:space="0"/>
              <w:right w:val="single" w:color="auto" w:sz="4" w:space="0"/>
            </w:tcBorders>
            <w:tcMar>
              <w:top w:w="15" w:type="dxa"/>
              <w:left w:w="15" w:type="dxa"/>
              <w:bottom w:w="15" w:type="dxa"/>
              <w:right w:w="15" w:type="dxa"/>
            </w:tcMar>
            <w:vAlign w:val="center"/>
          </w:tcPr>
          <w:p>
            <w:pPr>
              <w:widowControl/>
              <w:adjustRightInd w:val="0"/>
              <w:snapToGrid w:val="0"/>
              <w:spacing w:line="240" w:lineRule="exact"/>
              <w:rPr>
                <w:rFonts w:ascii="仿宋" w:hAnsi="仿宋" w:eastAsia="仿宋_GB2312"/>
                <w:kern w:val="0"/>
                <w:sz w:val="24"/>
                <w:szCs w:val="24"/>
              </w:rPr>
            </w:pPr>
            <w:r>
              <w:rPr>
                <w:rFonts w:ascii="仿宋" w:hAnsi="仿宋" w:eastAsia="仿宋_GB2312"/>
                <w:kern w:val="0"/>
                <w:sz w:val="24"/>
                <w:szCs w:val="24"/>
                <w:lang w:bidi="ar"/>
              </w:rPr>
              <w:t>大型公共建筑</w:t>
            </w:r>
          </w:p>
        </w:tc>
        <w:tc>
          <w:tcPr>
            <w:tcW w:w="3144"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exact"/>
              <w:rPr>
                <w:rFonts w:ascii="仿宋" w:hAnsi="仿宋" w:eastAsia="仿宋_GB2312"/>
                <w:kern w:val="0"/>
                <w:sz w:val="24"/>
                <w:szCs w:val="24"/>
              </w:rPr>
            </w:pPr>
            <w:r>
              <w:rPr>
                <w:rFonts w:ascii="仿宋" w:hAnsi="仿宋" w:eastAsia="仿宋_GB2312"/>
                <w:kern w:val="0"/>
                <w:sz w:val="24"/>
                <w:szCs w:val="24"/>
                <w:lang w:bidi="ar"/>
              </w:rPr>
              <w:t>实施建筑节能改造（节能率不低于15%）</w:t>
            </w:r>
            <w:r>
              <w:rPr>
                <w:rFonts w:hint="eastAsia" w:ascii="仿宋" w:hAnsi="仿宋" w:eastAsia="仿宋_GB2312"/>
                <w:kern w:val="0"/>
                <w:sz w:val="24"/>
                <w:szCs w:val="24"/>
                <w:lang w:val="en-US" w:eastAsia="zh-CN" w:bidi="ar"/>
              </w:rPr>
              <w:t>15</w:t>
            </w:r>
            <w:r>
              <w:rPr>
                <w:rFonts w:ascii="仿宋" w:hAnsi="仿宋" w:eastAsia="仿宋_GB2312"/>
                <w:kern w:val="0"/>
                <w:sz w:val="24"/>
                <w:szCs w:val="24"/>
                <w:lang w:bidi="ar"/>
              </w:rPr>
              <w:t>万平方米以上</w:t>
            </w:r>
          </w:p>
        </w:tc>
        <w:tc>
          <w:tcPr>
            <w:tcW w:w="2324"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exact"/>
              <w:rPr>
                <w:rFonts w:ascii="仿宋" w:hAnsi="仿宋" w:eastAsia="仿宋_GB2312"/>
                <w:kern w:val="0"/>
                <w:sz w:val="24"/>
                <w:szCs w:val="24"/>
              </w:rPr>
            </w:pPr>
            <w:r>
              <w:rPr>
                <w:rFonts w:hint="eastAsia" w:ascii="仿宋" w:hAnsi="仿宋" w:eastAsia="仿宋_GB2312"/>
                <w:kern w:val="0"/>
                <w:sz w:val="24"/>
                <w:szCs w:val="24"/>
                <w:lang w:eastAsia="zh-CN" w:bidi="ar"/>
              </w:rPr>
              <w:t>区建管委</w:t>
            </w:r>
            <w:r>
              <w:rPr>
                <w:rFonts w:ascii="仿宋" w:hAnsi="仿宋" w:eastAsia="仿宋_GB2312"/>
                <w:kern w:val="0"/>
                <w:sz w:val="24"/>
                <w:szCs w:val="24"/>
                <w:lang w:bidi="ar"/>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0" w:hRule="atLeast"/>
          <w:jc w:val="center"/>
        </w:trPr>
        <w:tc>
          <w:tcPr>
            <w:tcW w:w="758" w:type="dxa"/>
            <w:vMerge w:val="continue"/>
            <w:tcBorders>
              <w:top w:val="nil"/>
              <w:left w:val="single" w:color="auto" w:sz="4" w:space="0"/>
              <w:bottom w:val="single" w:color="auto" w:sz="4" w:space="0"/>
              <w:right w:val="single" w:color="auto" w:sz="4" w:space="0"/>
            </w:tcBorders>
            <w:tcMar>
              <w:top w:w="15" w:type="dxa"/>
              <w:left w:w="15" w:type="dxa"/>
              <w:bottom w:w="15" w:type="dxa"/>
              <w:right w:w="15" w:type="dxa"/>
            </w:tcMar>
            <w:vAlign w:val="center"/>
          </w:tcPr>
          <w:p>
            <w:pPr>
              <w:spacing w:line="240" w:lineRule="exact"/>
              <w:rPr>
                <w:rFonts w:ascii="仿宋" w:hAnsi="仿宋" w:eastAsia="仿宋_GB2312"/>
                <w:sz w:val="20"/>
              </w:rPr>
            </w:pPr>
          </w:p>
        </w:tc>
        <w:tc>
          <w:tcPr>
            <w:tcW w:w="501" w:type="dxa"/>
            <w:vMerge w:val="restart"/>
            <w:tcBorders>
              <w:top w:val="nil"/>
              <w:left w:val="nil"/>
              <w:bottom w:val="single" w:color="auto" w:sz="4" w:space="0"/>
              <w:right w:val="single" w:color="auto" w:sz="4" w:space="0"/>
            </w:tcBorders>
            <w:vAlign w:val="center"/>
          </w:tcPr>
          <w:p>
            <w:pPr>
              <w:adjustRightInd w:val="0"/>
              <w:snapToGrid w:val="0"/>
              <w:spacing w:line="240" w:lineRule="exact"/>
              <w:rPr>
                <w:rFonts w:ascii="仿宋" w:hAnsi="仿宋" w:eastAsia="仿宋_GB2312"/>
                <w:kern w:val="0"/>
                <w:sz w:val="24"/>
                <w:szCs w:val="24"/>
              </w:rPr>
            </w:pPr>
            <w:r>
              <w:rPr>
                <w:rFonts w:ascii="仿宋" w:hAnsi="仿宋" w:eastAsia="仿宋_GB2312"/>
                <w:kern w:val="0"/>
                <w:sz w:val="24"/>
                <w:szCs w:val="24"/>
                <w:lang w:bidi="ar"/>
              </w:rPr>
              <w:t>公</w:t>
            </w:r>
          </w:p>
          <w:p>
            <w:pPr>
              <w:adjustRightInd w:val="0"/>
              <w:snapToGrid w:val="0"/>
              <w:spacing w:line="240" w:lineRule="exact"/>
              <w:rPr>
                <w:rFonts w:ascii="仿宋" w:hAnsi="仿宋" w:eastAsia="仿宋_GB2312"/>
                <w:kern w:val="0"/>
                <w:sz w:val="24"/>
                <w:szCs w:val="24"/>
              </w:rPr>
            </w:pPr>
            <w:r>
              <w:rPr>
                <w:rFonts w:ascii="仿宋" w:hAnsi="仿宋" w:eastAsia="仿宋_GB2312"/>
                <w:kern w:val="0"/>
                <w:sz w:val="24"/>
                <w:szCs w:val="24"/>
                <w:lang w:bidi="ar"/>
              </w:rPr>
              <w:t>共</w:t>
            </w:r>
          </w:p>
          <w:p>
            <w:pPr>
              <w:adjustRightInd w:val="0"/>
              <w:snapToGrid w:val="0"/>
              <w:spacing w:line="240" w:lineRule="exact"/>
              <w:rPr>
                <w:rFonts w:ascii="仿宋" w:hAnsi="仿宋" w:eastAsia="仿宋_GB2312"/>
                <w:kern w:val="0"/>
                <w:sz w:val="24"/>
                <w:szCs w:val="24"/>
              </w:rPr>
            </w:pPr>
            <w:r>
              <w:rPr>
                <w:rFonts w:ascii="仿宋" w:hAnsi="仿宋" w:eastAsia="仿宋_GB2312"/>
                <w:kern w:val="0"/>
                <w:sz w:val="24"/>
                <w:szCs w:val="24"/>
                <w:lang w:bidi="ar"/>
              </w:rPr>
              <w:t>机</w:t>
            </w:r>
          </w:p>
          <w:p>
            <w:pPr>
              <w:adjustRightInd w:val="0"/>
              <w:snapToGrid w:val="0"/>
              <w:spacing w:line="240" w:lineRule="exact"/>
              <w:rPr>
                <w:rFonts w:ascii="仿宋" w:hAnsi="仿宋" w:eastAsia="仿宋_GB2312"/>
                <w:kern w:val="0"/>
                <w:sz w:val="24"/>
                <w:szCs w:val="24"/>
              </w:rPr>
            </w:pPr>
            <w:r>
              <w:rPr>
                <w:rFonts w:ascii="仿宋" w:hAnsi="仿宋" w:eastAsia="仿宋_GB2312"/>
                <w:kern w:val="0"/>
                <w:sz w:val="24"/>
                <w:szCs w:val="24"/>
                <w:lang w:bidi="ar"/>
              </w:rPr>
              <w:t>构</w:t>
            </w:r>
          </w:p>
        </w:tc>
        <w:tc>
          <w:tcPr>
            <w:tcW w:w="1536"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exact"/>
              <w:rPr>
                <w:rFonts w:ascii="仿宋" w:hAnsi="仿宋" w:eastAsia="仿宋_GB2312"/>
                <w:kern w:val="0"/>
                <w:sz w:val="24"/>
                <w:szCs w:val="24"/>
              </w:rPr>
            </w:pPr>
            <w:r>
              <w:rPr>
                <w:rFonts w:ascii="仿宋" w:hAnsi="仿宋" w:eastAsia="仿宋_GB2312"/>
                <w:kern w:val="0"/>
                <w:sz w:val="24"/>
                <w:szCs w:val="24"/>
                <w:lang w:bidi="ar"/>
              </w:rPr>
              <w:t>国家机关</w:t>
            </w:r>
          </w:p>
        </w:tc>
        <w:tc>
          <w:tcPr>
            <w:tcW w:w="3144"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exact"/>
              <w:rPr>
                <w:rFonts w:ascii="仿宋" w:hAnsi="仿宋" w:eastAsia="仿宋_GB2312"/>
                <w:kern w:val="0"/>
                <w:sz w:val="24"/>
                <w:szCs w:val="24"/>
              </w:rPr>
            </w:pPr>
            <w:r>
              <w:rPr>
                <w:rFonts w:ascii="仿宋" w:hAnsi="仿宋" w:eastAsia="仿宋_GB2312"/>
                <w:kern w:val="0"/>
                <w:sz w:val="24"/>
                <w:szCs w:val="24"/>
                <w:lang w:bidi="ar"/>
              </w:rPr>
              <w:t>单位建筑面积能耗</w:t>
            </w:r>
            <w:r>
              <w:rPr>
                <w:rFonts w:hint="eastAsia" w:ascii="仿宋" w:hAnsi="仿宋" w:eastAsia="仿宋_GB2312"/>
                <w:kern w:val="0"/>
                <w:sz w:val="24"/>
                <w:szCs w:val="24"/>
                <w:lang w:bidi="ar"/>
              </w:rPr>
              <w:t>（碳排放）</w:t>
            </w:r>
            <w:r>
              <w:rPr>
                <w:rFonts w:ascii="仿宋" w:hAnsi="仿宋" w:eastAsia="仿宋_GB2312"/>
                <w:kern w:val="0"/>
                <w:sz w:val="24"/>
                <w:szCs w:val="24"/>
                <w:lang w:bidi="ar"/>
              </w:rPr>
              <w:t>、人均能耗</w:t>
            </w:r>
            <w:r>
              <w:rPr>
                <w:rFonts w:hint="eastAsia" w:ascii="仿宋" w:hAnsi="仿宋" w:eastAsia="仿宋_GB2312"/>
                <w:kern w:val="0"/>
                <w:sz w:val="24"/>
                <w:szCs w:val="24"/>
                <w:lang w:bidi="ar"/>
              </w:rPr>
              <w:t>有所下降</w:t>
            </w:r>
          </w:p>
        </w:tc>
        <w:tc>
          <w:tcPr>
            <w:tcW w:w="2324"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exact"/>
              <w:rPr>
                <w:rFonts w:hint="eastAsia" w:ascii="仿宋" w:hAnsi="仿宋" w:eastAsia="仿宋_GB2312"/>
                <w:kern w:val="0"/>
                <w:sz w:val="24"/>
                <w:szCs w:val="24"/>
                <w:lang w:eastAsia="zh-CN"/>
              </w:rPr>
            </w:pPr>
            <w:r>
              <w:rPr>
                <w:rFonts w:hint="eastAsia" w:ascii="仿宋" w:hAnsi="仿宋" w:eastAsia="仿宋_GB2312"/>
                <w:kern w:val="0"/>
                <w:sz w:val="24"/>
                <w:szCs w:val="24"/>
                <w:lang w:eastAsia="zh-CN" w:bidi="ar"/>
              </w:rPr>
              <w:t>区机管局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0" w:hRule="atLeast"/>
          <w:jc w:val="center"/>
        </w:trPr>
        <w:tc>
          <w:tcPr>
            <w:tcW w:w="758" w:type="dxa"/>
            <w:vMerge w:val="continue"/>
            <w:tcBorders>
              <w:top w:val="nil"/>
              <w:left w:val="single" w:color="auto" w:sz="4" w:space="0"/>
              <w:bottom w:val="single" w:color="auto" w:sz="4" w:space="0"/>
              <w:right w:val="single" w:color="auto" w:sz="4" w:space="0"/>
            </w:tcBorders>
            <w:tcMar>
              <w:top w:w="15" w:type="dxa"/>
              <w:left w:w="15" w:type="dxa"/>
              <w:bottom w:w="15" w:type="dxa"/>
              <w:right w:w="15" w:type="dxa"/>
            </w:tcMar>
            <w:vAlign w:val="center"/>
          </w:tcPr>
          <w:p>
            <w:pPr>
              <w:spacing w:line="240" w:lineRule="exact"/>
              <w:rPr>
                <w:rFonts w:ascii="仿宋" w:hAnsi="仿宋" w:eastAsia="仿宋_GB2312"/>
                <w:sz w:val="20"/>
              </w:rPr>
            </w:pPr>
          </w:p>
        </w:tc>
        <w:tc>
          <w:tcPr>
            <w:tcW w:w="501" w:type="dxa"/>
            <w:vMerge w:val="continue"/>
            <w:tcBorders>
              <w:top w:val="nil"/>
              <w:left w:val="nil"/>
              <w:bottom w:val="single" w:color="auto" w:sz="4" w:space="0"/>
              <w:right w:val="single" w:color="auto" w:sz="4" w:space="0"/>
            </w:tcBorders>
            <w:vAlign w:val="center"/>
          </w:tcPr>
          <w:p>
            <w:pPr>
              <w:spacing w:line="240" w:lineRule="exact"/>
              <w:rPr>
                <w:rFonts w:ascii="仿宋" w:hAnsi="仿宋" w:eastAsia="仿宋_GB2312"/>
                <w:sz w:val="20"/>
              </w:rPr>
            </w:pPr>
          </w:p>
        </w:tc>
        <w:tc>
          <w:tcPr>
            <w:tcW w:w="1536" w:type="dxa"/>
            <w:tcBorders>
              <w:top w:val="single" w:color="auto" w:sz="4" w:space="0"/>
              <w:left w:val="nil"/>
              <w:bottom w:val="single" w:color="auto" w:sz="4" w:space="0"/>
              <w:right w:val="single" w:color="auto" w:sz="4" w:space="0"/>
            </w:tcBorders>
            <w:vAlign w:val="center"/>
          </w:tcPr>
          <w:p>
            <w:pPr>
              <w:adjustRightInd w:val="0"/>
              <w:snapToGrid w:val="0"/>
              <w:spacing w:line="240" w:lineRule="exact"/>
              <w:rPr>
                <w:rFonts w:ascii="仿宋" w:hAnsi="仿宋" w:eastAsia="仿宋_GB2312"/>
                <w:spacing w:val="-8"/>
                <w:kern w:val="0"/>
                <w:sz w:val="24"/>
                <w:szCs w:val="24"/>
              </w:rPr>
            </w:pPr>
            <w:r>
              <w:rPr>
                <w:rFonts w:ascii="仿宋" w:hAnsi="仿宋" w:eastAsia="仿宋_GB2312"/>
                <w:spacing w:val="-8"/>
                <w:kern w:val="0"/>
                <w:sz w:val="24"/>
                <w:szCs w:val="24"/>
                <w:lang w:bidi="ar"/>
              </w:rPr>
              <w:t>其他公共机构</w:t>
            </w:r>
          </w:p>
        </w:tc>
        <w:tc>
          <w:tcPr>
            <w:tcW w:w="3144" w:type="dxa"/>
            <w:tcBorders>
              <w:top w:val="single" w:color="auto" w:sz="4" w:space="0"/>
              <w:left w:val="nil"/>
              <w:bottom w:val="single" w:color="auto" w:sz="4" w:space="0"/>
              <w:right w:val="single" w:color="auto" w:sz="4" w:space="0"/>
            </w:tcBorders>
            <w:vAlign w:val="center"/>
          </w:tcPr>
          <w:p>
            <w:pPr>
              <w:adjustRightInd w:val="0"/>
              <w:snapToGrid w:val="0"/>
              <w:spacing w:line="240" w:lineRule="exact"/>
              <w:rPr>
                <w:rFonts w:ascii="仿宋" w:hAnsi="仿宋" w:eastAsia="仿宋_GB2312"/>
                <w:kern w:val="0"/>
                <w:sz w:val="24"/>
                <w:szCs w:val="24"/>
              </w:rPr>
            </w:pPr>
            <w:r>
              <w:rPr>
                <w:rFonts w:ascii="仿宋" w:hAnsi="仿宋" w:eastAsia="仿宋_GB2312"/>
                <w:kern w:val="0"/>
                <w:sz w:val="24"/>
                <w:szCs w:val="24"/>
                <w:lang w:bidi="ar"/>
              </w:rPr>
              <w:t>单位建筑面积能耗、人均能耗</w:t>
            </w:r>
            <w:r>
              <w:rPr>
                <w:rFonts w:hint="eastAsia" w:ascii="仿宋" w:hAnsi="仿宋" w:eastAsia="仿宋_GB2312"/>
                <w:kern w:val="0"/>
                <w:sz w:val="24"/>
                <w:szCs w:val="24"/>
                <w:lang w:bidi="ar"/>
              </w:rPr>
              <w:t>有所</w:t>
            </w:r>
            <w:r>
              <w:rPr>
                <w:rFonts w:ascii="仿宋" w:hAnsi="仿宋" w:eastAsia="仿宋_GB2312"/>
                <w:kern w:val="0"/>
                <w:sz w:val="24"/>
                <w:szCs w:val="24"/>
                <w:lang w:bidi="ar"/>
              </w:rPr>
              <w:t>下降</w:t>
            </w:r>
          </w:p>
        </w:tc>
        <w:tc>
          <w:tcPr>
            <w:tcW w:w="2324" w:type="dxa"/>
            <w:tcBorders>
              <w:top w:val="single" w:color="auto" w:sz="4" w:space="0"/>
              <w:left w:val="nil"/>
              <w:bottom w:val="single" w:color="auto" w:sz="4" w:space="0"/>
              <w:right w:val="single" w:color="auto" w:sz="4" w:space="0"/>
            </w:tcBorders>
            <w:vAlign w:val="center"/>
          </w:tcPr>
          <w:p>
            <w:pPr>
              <w:adjustRightInd w:val="0"/>
              <w:snapToGrid w:val="0"/>
              <w:spacing w:line="240" w:lineRule="exact"/>
              <w:rPr>
                <w:rFonts w:ascii="仿宋" w:hAnsi="仿宋" w:eastAsia="仿宋_GB2312"/>
                <w:kern w:val="0"/>
                <w:sz w:val="24"/>
                <w:szCs w:val="24"/>
              </w:rPr>
            </w:pPr>
            <w:r>
              <w:rPr>
                <w:rFonts w:hint="eastAsia" w:ascii="仿宋" w:hAnsi="仿宋" w:eastAsia="仿宋_GB2312"/>
                <w:kern w:val="0"/>
                <w:sz w:val="24"/>
                <w:szCs w:val="24"/>
                <w:lang w:eastAsia="zh-CN" w:bidi="ar"/>
              </w:rPr>
              <w:t>区机管局、区教育局、区卫健委、区文旅局、区体育局等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0" w:hRule="atLeast"/>
          <w:jc w:val="center"/>
        </w:trPr>
        <w:tc>
          <w:tcPr>
            <w:tcW w:w="758" w:type="dxa"/>
            <w:vMerge w:val="restart"/>
            <w:tcBorders>
              <w:top w:val="nil"/>
              <w:left w:val="single" w:color="auto" w:sz="4" w:space="0"/>
              <w:bottom w:val="single" w:color="auto" w:sz="4" w:space="0"/>
              <w:right w:val="single" w:color="auto" w:sz="4" w:space="0"/>
            </w:tcBorders>
            <w:tcMar>
              <w:top w:w="15" w:type="dxa"/>
              <w:left w:w="15" w:type="dxa"/>
              <w:bottom w:w="15" w:type="dxa"/>
              <w:right w:w="15" w:type="dxa"/>
            </w:tcMar>
            <w:vAlign w:val="center"/>
          </w:tcPr>
          <w:p>
            <w:pPr>
              <w:adjustRightInd w:val="0"/>
              <w:snapToGrid w:val="0"/>
              <w:spacing w:line="240" w:lineRule="exact"/>
              <w:rPr>
                <w:rFonts w:ascii="仿宋" w:hAnsi="仿宋" w:eastAsia="仿宋_GB2312"/>
                <w:kern w:val="0"/>
                <w:sz w:val="24"/>
                <w:szCs w:val="24"/>
              </w:rPr>
            </w:pPr>
            <w:r>
              <w:rPr>
                <w:rFonts w:ascii="仿宋" w:hAnsi="仿宋" w:eastAsia="仿宋_GB2312"/>
                <w:kern w:val="0"/>
                <w:sz w:val="24"/>
                <w:szCs w:val="24"/>
                <w:lang w:bidi="ar"/>
              </w:rPr>
              <w:t>减排</w:t>
            </w:r>
          </w:p>
        </w:tc>
        <w:tc>
          <w:tcPr>
            <w:tcW w:w="2037" w:type="dxa"/>
            <w:gridSpan w:val="2"/>
            <w:tcBorders>
              <w:top w:val="single" w:color="auto" w:sz="4" w:space="0"/>
              <w:left w:val="nil"/>
              <w:bottom w:val="single" w:color="auto" w:sz="4" w:space="0"/>
              <w:right w:val="single" w:color="auto" w:sz="4" w:space="0"/>
            </w:tcBorders>
            <w:tcMar>
              <w:top w:w="15" w:type="dxa"/>
              <w:left w:w="15" w:type="dxa"/>
              <w:bottom w:w="15" w:type="dxa"/>
              <w:right w:w="15" w:type="dxa"/>
            </w:tcMar>
            <w:vAlign w:val="center"/>
          </w:tcPr>
          <w:p>
            <w:pPr>
              <w:widowControl/>
              <w:adjustRightInd w:val="0"/>
              <w:snapToGrid w:val="0"/>
              <w:spacing w:line="240" w:lineRule="exact"/>
              <w:rPr>
                <w:rFonts w:ascii="仿宋" w:hAnsi="仿宋" w:eastAsia="仿宋_GB2312"/>
                <w:kern w:val="0"/>
                <w:sz w:val="24"/>
                <w:szCs w:val="24"/>
                <w:lang w:bidi="ar"/>
              </w:rPr>
            </w:pPr>
            <w:r>
              <w:rPr>
                <w:rFonts w:ascii="仿宋" w:hAnsi="仿宋" w:eastAsia="仿宋_GB2312"/>
                <w:kern w:val="0"/>
                <w:sz w:val="24"/>
                <w:szCs w:val="24"/>
                <w:lang w:bidi="ar"/>
              </w:rPr>
              <w:t>细颗粒物（</w:t>
            </w:r>
            <w:r>
              <w:rPr>
                <w:rFonts w:hint="default" w:ascii="Times New Roman" w:hAnsi="Times New Roman" w:eastAsia="仿宋_GB2312" w:cs="Times New Roman"/>
                <w:kern w:val="0"/>
                <w:sz w:val="24"/>
                <w:szCs w:val="24"/>
                <w:lang w:bidi="ar"/>
              </w:rPr>
              <w:t>PM</w:t>
            </w:r>
            <w:r>
              <w:rPr>
                <w:rFonts w:ascii="仿宋" w:hAnsi="仿宋" w:eastAsia="仿宋_GB2312"/>
                <w:kern w:val="0"/>
                <w:sz w:val="24"/>
                <w:szCs w:val="24"/>
                <w:lang w:bidi="ar"/>
              </w:rPr>
              <w:t>2.5）年均浓度</w:t>
            </w:r>
          </w:p>
        </w:tc>
        <w:tc>
          <w:tcPr>
            <w:tcW w:w="3144"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exact"/>
              <w:rPr>
                <w:rFonts w:ascii="仿宋" w:hAnsi="仿宋" w:eastAsia="仿宋_GB2312"/>
                <w:kern w:val="0"/>
                <w:sz w:val="24"/>
                <w:szCs w:val="24"/>
                <w:lang w:bidi="ar"/>
              </w:rPr>
            </w:pPr>
            <w:r>
              <w:rPr>
                <w:rFonts w:hint="default" w:ascii="Arial" w:hAnsi="Arial" w:eastAsia="宋体" w:cs="Arial"/>
                <w:kern w:val="0"/>
                <w:sz w:val="24"/>
                <w:szCs w:val="24"/>
                <w:lang w:bidi="ar"/>
              </w:rPr>
              <w:t>≤</w:t>
            </w:r>
            <w:r>
              <w:rPr>
                <w:rFonts w:hint="eastAsia" w:ascii="仿宋" w:hAnsi="仿宋" w:eastAsia="仿宋_GB2312" w:cs="仿宋"/>
                <w:kern w:val="0"/>
                <w:sz w:val="24"/>
                <w:szCs w:val="24"/>
                <w:lang w:val="en-US" w:eastAsia="zh-CN" w:bidi="ar"/>
              </w:rPr>
              <w:t>31微克/立方米</w:t>
            </w:r>
          </w:p>
        </w:tc>
        <w:tc>
          <w:tcPr>
            <w:tcW w:w="2324" w:type="dxa"/>
            <w:tcBorders>
              <w:top w:val="single" w:color="auto" w:sz="4" w:space="0"/>
              <w:left w:val="nil"/>
              <w:bottom w:val="single" w:color="auto" w:sz="4" w:space="0"/>
              <w:right w:val="single" w:color="auto" w:sz="4" w:space="0"/>
            </w:tcBorders>
            <w:vAlign w:val="center"/>
          </w:tcPr>
          <w:p>
            <w:pPr>
              <w:adjustRightInd w:val="0"/>
              <w:snapToGrid w:val="0"/>
              <w:spacing w:line="240" w:lineRule="exact"/>
              <w:rPr>
                <w:rFonts w:ascii="仿宋" w:hAnsi="仿宋" w:eastAsia="仿宋_GB2312"/>
                <w:kern w:val="0"/>
                <w:sz w:val="24"/>
                <w:szCs w:val="24"/>
              </w:rPr>
            </w:pPr>
            <w:r>
              <w:rPr>
                <w:rFonts w:hint="eastAsia" w:ascii="仿宋" w:hAnsi="仿宋" w:eastAsia="仿宋_GB2312"/>
                <w:kern w:val="0"/>
                <w:sz w:val="24"/>
                <w:szCs w:val="24"/>
                <w:lang w:eastAsia="zh-CN" w:bidi="ar"/>
              </w:rPr>
              <w:t>区生态环境局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0" w:hRule="atLeast"/>
          <w:jc w:val="center"/>
        </w:trPr>
        <w:tc>
          <w:tcPr>
            <w:tcW w:w="758" w:type="dxa"/>
            <w:vMerge w:val="continue"/>
            <w:tcBorders>
              <w:top w:val="nil"/>
              <w:left w:val="single" w:color="auto" w:sz="4" w:space="0"/>
              <w:bottom w:val="single" w:color="auto" w:sz="4" w:space="0"/>
              <w:right w:val="single" w:color="auto" w:sz="4" w:space="0"/>
            </w:tcBorders>
            <w:tcMar>
              <w:top w:w="15" w:type="dxa"/>
              <w:left w:w="15" w:type="dxa"/>
              <w:bottom w:w="15" w:type="dxa"/>
              <w:right w:w="15" w:type="dxa"/>
            </w:tcMar>
            <w:vAlign w:val="center"/>
          </w:tcPr>
          <w:p>
            <w:pPr>
              <w:spacing w:line="240" w:lineRule="exact"/>
              <w:rPr>
                <w:rFonts w:ascii="仿宋" w:hAnsi="仿宋" w:eastAsia="仿宋_GB2312"/>
                <w:sz w:val="20"/>
              </w:rPr>
            </w:pPr>
          </w:p>
        </w:tc>
        <w:tc>
          <w:tcPr>
            <w:tcW w:w="2037" w:type="dxa"/>
            <w:gridSpan w:val="2"/>
            <w:tcBorders>
              <w:top w:val="single" w:color="auto" w:sz="4" w:space="0"/>
              <w:left w:val="nil"/>
              <w:bottom w:val="single" w:color="auto" w:sz="4" w:space="0"/>
              <w:right w:val="single" w:color="auto" w:sz="4" w:space="0"/>
            </w:tcBorders>
            <w:tcMar>
              <w:top w:w="15" w:type="dxa"/>
              <w:left w:w="15" w:type="dxa"/>
              <w:bottom w:w="15" w:type="dxa"/>
              <w:right w:w="15" w:type="dxa"/>
            </w:tcMar>
            <w:vAlign w:val="center"/>
          </w:tcPr>
          <w:p>
            <w:pPr>
              <w:widowControl/>
              <w:adjustRightInd w:val="0"/>
              <w:snapToGrid w:val="0"/>
              <w:spacing w:line="240" w:lineRule="exact"/>
              <w:rPr>
                <w:rFonts w:ascii="仿宋" w:hAnsi="仿宋" w:eastAsia="仿宋_GB2312"/>
                <w:kern w:val="0"/>
                <w:sz w:val="24"/>
                <w:szCs w:val="24"/>
                <w:lang w:bidi="ar"/>
              </w:rPr>
            </w:pPr>
            <w:r>
              <w:rPr>
                <w:rFonts w:ascii="仿宋" w:hAnsi="仿宋" w:eastAsia="仿宋_GB2312"/>
                <w:kern w:val="0"/>
                <w:sz w:val="24"/>
                <w:szCs w:val="24"/>
                <w:lang w:bidi="ar"/>
              </w:rPr>
              <w:t>挥发性有机物</w:t>
            </w:r>
            <w:r>
              <w:rPr>
                <w:rFonts w:hint="eastAsia" w:ascii="仿宋" w:hAnsi="仿宋" w:eastAsia="仿宋_GB2312"/>
                <w:kern w:val="0"/>
                <w:sz w:val="24"/>
                <w:szCs w:val="24"/>
                <w:lang w:bidi="ar"/>
              </w:rPr>
              <w:t>重点工程减排量</w:t>
            </w:r>
          </w:p>
        </w:tc>
        <w:tc>
          <w:tcPr>
            <w:tcW w:w="3144" w:type="dxa"/>
            <w:tcBorders>
              <w:top w:val="single" w:color="auto" w:sz="4" w:space="0"/>
              <w:left w:val="nil"/>
              <w:bottom w:val="single" w:color="auto" w:sz="4" w:space="0"/>
              <w:right w:val="single" w:color="auto" w:sz="4" w:space="0"/>
            </w:tcBorders>
            <w:vAlign w:val="center"/>
          </w:tcPr>
          <w:p>
            <w:pPr>
              <w:widowControl/>
              <w:adjustRightInd w:val="0"/>
              <w:snapToGrid w:val="0"/>
              <w:spacing w:line="240" w:lineRule="exact"/>
              <w:rPr>
                <w:rFonts w:ascii="仿宋" w:hAnsi="仿宋" w:eastAsia="仿宋_GB2312"/>
                <w:kern w:val="0"/>
                <w:sz w:val="24"/>
                <w:szCs w:val="24"/>
                <w:lang w:bidi="ar"/>
              </w:rPr>
            </w:pPr>
            <w:r>
              <w:rPr>
                <w:rFonts w:hint="eastAsia" w:ascii="仿宋" w:hAnsi="仿宋" w:eastAsia="仿宋_GB2312"/>
                <w:kern w:val="0"/>
                <w:sz w:val="24"/>
                <w:szCs w:val="24"/>
                <w:lang w:bidi="ar"/>
              </w:rPr>
              <w:t>完成</w:t>
            </w:r>
            <w:r>
              <w:rPr>
                <w:rFonts w:hint="eastAsia" w:ascii="仿宋" w:hAnsi="仿宋" w:eastAsia="仿宋_GB2312"/>
                <w:kern w:val="0"/>
                <w:sz w:val="24"/>
                <w:szCs w:val="24"/>
                <w:lang w:eastAsia="zh-CN" w:bidi="ar"/>
              </w:rPr>
              <w:t>市</w:t>
            </w:r>
            <w:r>
              <w:rPr>
                <w:rFonts w:hint="eastAsia" w:ascii="仿宋" w:hAnsi="仿宋" w:eastAsia="仿宋_GB2312"/>
                <w:kern w:val="0"/>
                <w:sz w:val="24"/>
                <w:szCs w:val="24"/>
                <w:lang w:bidi="ar"/>
              </w:rPr>
              <w:t>下达的目标</w:t>
            </w:r>
          </w:p>
        </w:tc>
        <w:tc>
          <w:tcPr>
            <w:tcW w:w="2324" w:type="dxa"/>
            <w:tcBorders>
              <w:top w:val="nil"/>
              <w:left w:val="nil"/>
              <w:bottom w:val="single" w:color="auto" w:sz="4" w:space="0"/>
              <w:right w:val="single" w:color="auto" w:sz="4" w:space="0"/>
            </w:tcBorders>
            <w:vAlign w:val="center"/>
          </w:tcPr>
          <w:p>
            <w:pPr>
              <w:spacing w:line="240" w:lineRule="exact"/>
              <w:rPr>
                <w:rFonts w:ascii="仿宋" w:hAnsi="仿宋" w:eastAsia="仿宋_GB2312"/>
                <w:sz w:val="20"/>
              </w:rPr>
            </w:pPr>
            <w:r>
              <w:rPr>
                <w:rFonts w:hint="eastAsia" w:ascii="仿宋" w:hAnsi="仿宋" w:eastAsia="仿宋_GB2312"/>
                <w:kern w:val="0"/>
                <w:sz w:val="24"/>
                <w:szCs w:val="24"/>
                <w:lang w:eastAsia="zh-CN" w:bidi="ar"/>
              </w:rPr>
              <w:t>区生态环境局</w:t>
            </w:r>
          </w:p>
        </w:tc>
      </w:tr>
    </w:tbl>
    <w:p>
      <w:pPr>
        <w:adjustRightInd w:val="0"/>
        <w:snapToGrid w:val="0"/>
        <w:spacing w:line="240" w:lineRule="exact"/>
        <w:rPr>
          <w:rFonts w:ascii="仿宋" w:hAnsi="仿宋" w:eastAsia="仿宋_GB2312"/>
          <w:kern w:val="0"/>
          <w:szCs w:val="21"/>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sz w:val="32"/>
          <w:szCs w:val="32"/>
          <w:lang w:val="en-US" w:eastAsia="zh-CN"/>
        </w:rPr>
        <w:sectPr>
          <w:pgSz w:w="11906" w:h="16838"/>
          <w:pgMar w:top="2041" w:right="1587" w:bottom="1956" w:left="1587" w:header="1491" w:footer="1145" w:gutter="0"/>
          <w:pgNumType w:fmt="decimal"/>
          <w:cols w:space="720" w:num="1"/>
          <w:docGrid w:type="lines" w:linePitch="442" w:charSpace="0"/>
        </w:sectPr>
      </w:pPr>
    </w:p>
    <w:p>
      <w:pPr>
        <w:jc w:val="both"/>
        <w:rPr>
          <w:rFonts w:hint="eastAsia" w:ascii="仿宋_GB2312" w:hAnsi="仿宋_GB2312" w:eastAsia="仿宋_GB2312" w:cs="仿宋_GB2312"/>
          <w:i w:val="0"/>
          <w:color w:val="000000"/>
          <w:kern w:val="0"/>
          <w:sz w:val="32"/>
          <w:szCs w:val="32"/>
          <w:u w:val="none"/>
          <w:lang w:val="en-US" w:eastAsia="zh-CN" w:bidi="ar"/>
        </w:rPr>
      </w:pPr>
      <w:r>
        <w:rPr>
          <w:rFonts w:hint="eastAsia" w:ascii="仿宋_GB2312" w:hAnsi="仿宋_GB2312" w:eastAsia="仿宋_GB2312" w:cs="仿宋_GB2312"/>
          <w:i w:val="0"/>
          <w:color w:val="000000"/>
          <w:kern w:val="0"/>
          <w:sz w:val="32"/>
          <w:szCs w:val="32"/>
          <w:u w:val="none"/>
          <w:lang w:val="en-US" w:eastAsia="zh-CN" w:bidi="ar"/>
        </w:rPr>
        <w:t>附件2：</w:t>
      </w:r>
    </w:p>
    <w:p>
      <w:pPr>
        <w:jc w:val="center"/>
        <w:rPr>
          <w:rFonts w:hint="eastAsia" w:ascii="方正小标宋简体" w:hAnsi="方正小标宋简体" w:eastAsia="方正小标宋简体" w:cs="方正小标宋简体"/>
          <w:i w:val="0"/>
          <w:color w:val="000000"/>
          <w:kern w:val="0"/>
          <w:sz w:val="32"/>
          <w:szCs w:val="32"/>
          <w:u w:val="none"/>
          <w:lang w:val="en-US" w:eastAsia="zh-CN" w:bidi="ar"/>
        </w:rPr>
      </w:pPr>
      <w:r>
        <w:rPr>
          <w:rFonts w:hint="eastAsia" w:ascii="方正小标宋简体" w:hAnsi="方正小标宋简体" w:eastAsia="方正小标宋简体" w:cs="方正小标宋简体"/>
          <w:i w:val="0"/>
          <w:color w:val="000000"/>
          <w:kern w:val="0"/>
          <w:sz w:val="32"/>
          <w:szCs w:val="32"/>
          <w:u w:val="none"/>
          <w:lang w:val="en-US" w:eastAsia="zh-CN" w:bidi="ar"/>
        </w:rPr>
        <w:t>长宁区2023年碳达峰碳中和及节能减排重点工作任务及分工</w:t>
      </w:r>
    </w:p>
    <w:p>
      <w:pPr>
        <w:rPr>
          <w:rFonts w:hint="eastAsia" w:ascii="楷体_GB2312" w:hAnsi="宋体" w:eastAsia="楷体_GB2312" w:cs="楷体_GB2312"/>
          <w:i w:val="0"/>
          <w:color w:val="000000"/>
          <w:kern w:val="0"/>
          <w:sz w:val="20"/>
          <w:szCs w:val="20"/>
          <w:u w:val="none"/>
          <w:lang w:val="en-US" w:eastAsia="zh-CN" w:bidi="ar"/>
        </w:rPr>
      </w:pPr>
      <w:r>
        <w:rPr>
          <w:rFonts w:hint="eastAsia" w:ascii="楷体_GB2312" w:hAnsi="宋体" w:eastAsia="楷体_GB2312" w:cs="楷体_GB2312"/>
          <w:i w:val="0"/>
          <w:color w:val="000000"/>
          <w:kern w:val="0"/>
          <w:sz w:val="20"/>
          <w:szCs w:val="20"/>
          <w:u w:val="none"/>
          <w:lang w:val="en-US" w:eastAsia="zh-CN" w:bidi="ar"/>
        </w:rPr>
        <w:t>注：“*”为市级方案中要求各区落实任务</w:t>
      </w:r>
    </w:p>
    <w:tbl>
      <w:tblPr>
        <w:tblStyle w:val="5"/>
        <w:tblW w:w="139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74"/>
        <w:gridCol w:w="934"/>
        <w:gridCol w:w="492"/>
        <w:gridCol w:w="5632"/>
        <w:gridCol w:w="1151"/>
        <w:gridCol w:w="2479"/>
        <w:gridCol w:w="28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3" w:hRule="atLeast"/>
          <w:tblHeader/>
        </w:trPr>
        <w:tc>
          <w:tcPr>
            <w:tcW w:w="140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重点任务</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序号</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具体工作</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时间进度</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牵头部门</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配合部门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5" w:hRule="atLeast"/>
        </w:trPr>
        <w:tc>
          <w:tcPr>
            <w:tcW w:w="4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一</w:t>
            </w:r>
          </w:p>
        </w:tc>
        <w:tc>
          <w:tcPr>
            <w:tcW w:w="9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强化碳达峰碳中和综合管理</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1</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成立长宁区碳达峰碳中和工作领导小组，加强对全区碳达峰工作的整体部署和系统推进，督促各项目标任务落实落细</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二</w:t>
            </w:r>
            <w:bookmarkStart w:id="0" w:name="_GoBack"/>
            <w:bookmarkEnd w:id="0"/>
            <w:r>
              <w:rPr>
                <w:rFonts w:hint="eastAsia" w:ascii="仿宋" w:hAnsi="仿宋" w:eastAsia="仿宋_GB2312" w:cs="仿宋"/>
                <w:i w:val="0"/>
                <w:color w:val="000000"/>
                <w:kern w:val="0"/>
                <w:sz w:val="21"/>
                <w:szCs w:val="21"/>
                <w:u w:val="none"/>
                <w:lang w:val="en-US" w:eastAsia="zh-CN" w:bidi="ar"/>
              </w:rPr>
              <w:t>季度完成</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区发改委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相关部门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2</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出台发布《长宁区碳达峰实施方案》</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一季度完成</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区发改委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区商务委、区建管委、区生态环境局、区统计局、区虹桥办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3</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结合市各条线碳达峰专项，制定交通（充电桩）/建筑（既有建筑节能改造和超低能耗建筑）/科技/绿色金融/国民教育/减污降碳/低碳生活行动示范等重点领域实施方案</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区建管委/区科委/区投促办（金融办）/区教育局/区生态环境局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区发改委、区虹桥办、区规划资源局、区房管局、区财政局、各街道镇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786"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4*</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探索中心城区碳中和实现路径，探索实施零碳园区、零碳建筑等集成性试点项目和场景，鼓励企业推出碳中和产品和服务，探索会议、论坛、展览等大型活动碳中和场景，在临空经济园区等重点区域开展智能电网、新型储能、高效光伏、“光储直柔”建筑能源系统、近零和零碳建筑建造运行等技术应用示范；推进北新泾街道等创建市级充电桩示范街道；推进新泾镇办公用房超低能耗建筑标杆项目</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区发改委、区生态环境局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区商务委、区建管委、区虹桥办、区东虹办、区机管局、区房管局、区国资委、相关街道镇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5*</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结合精品城区建设，持续推进绿色生态城区、低碳发展实践区、低碳社区、绿色社区、生境花园、气候韧性社区等创建；推进新华街道创建整街道低碳发展实践区</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区生态环境局、区建管委、区虹桥办</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相关街道镇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6*</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做好地方碳市场监管工作，配合督促企业清缴履约</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区生态环境局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7*</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推进完成2022年温室气体排放清单编制，实现街镇级清单编制全覆盖</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区生态环境局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各街道镇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8*</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落实市级要求，推进碳普惠体系建设</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区生态环境局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17" w:hRule="atLeast"/>
        </w:trPr>
        <w:tc>
          <w:tcPr>
            <w:tcW w:w="4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二</w:t>
            </w:r>
          </w:p>
        </w:tc>
        <w:tc>
          <w:tcPr>
            <w:tcW w:w="9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推进能源绿色低碳转型</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9*</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全面推动“光伏+”开发利用。制定下发2023年建设任务通知，明确年度任务目标并分解落实到部门，全年力争完成光伏建设8422千瓦，开展部门光伏建设完成情况跟踪与评价</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10月底前完成</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区发改委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区建管委、区教育局、区国资委、区卫健委、区机管局、区规划资源局、区文化旅游局、区绿化市容局、区虹桥办、区东虹办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10</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打造光伏示范标杆项目，并结合城市更新和建筑改造，探索多项目、多领域打包推进，提高光伏建设整体收益率</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区发改委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区虹桥办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11</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推进光伏建筑一体化试点</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区建管委、区规划资源局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12</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落实上海市《可再生能源建设任务完成率考核实施细则》有关规定，确保新建项目落实光伏建设要求</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区建管委、区规划资源局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区发改委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三</w:t>
            </w:r>
          </w:p>
        </w:tc>
        <w:tc>
          <w:tcPr>
            <w:tcW w:w="9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推动产业节能降碳</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13</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加快传统产业绿色低碳改造，推动战略性新兴产业与绿色低碳产业深度融合。</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区商务委、区科委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区发改委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14*</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积极布局绿色低碳新赛道，持续优化双碳产业发展环境，加大绿色低碳企业招商力度，集聚绿色低碳和新能源发展头部企业，引进双碳企业20家，双碳企业总部2家，争取引进国际级或国家级“双碳”研究机构1个。</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年内完成</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区投促办</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区东虹办、区科委、区商务委、区发改委、各街道镇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15</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推动重点用能单位实施能效提升计划，明确淘汰落后设备、实施特种设备新能源替代的阶段性目标和施工路线图</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区商务委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3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16*</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强化重点用能单位能耗双控，开展2022年重点用能单位能源利用状况报告核查；实施2022 年度重点用能单位节能目标责任考核，加强考核结果应用；开展重点用能单位能耗在线监测和计量联合行政检查；开展单位产品能源消耗限额标准执行检查</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年内完成</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区发改委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区商务委、区建管委、区市场监管局、区国资委等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17*</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加快数字赋能。推进电力、燃气、油品等供给侧、年综合能耗2000吨标准煤以上用能企业能源管理中心建设</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区商务委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18*</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落实“百一”行动计划，推进工业和通信业重点用能单位完成能源审计。</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年内完成</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区商务委、区科委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19</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加强特种设备节能管理，开展锅炉能效测试，完成居民住宅电梯安全风险与节能评估</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年内完成</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区市场监管局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20</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鼓励社会资本以市场化方式设立绿色低碳产业投资基金，在碳达峰、碳中和背景下开展各类绿色投资，包括充换电网络、新型电网、可再生能源等新技术、新模式探索和应用</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区投促办（金融办）</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21*</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发展市场化节能模式，持续推行合同能源管理，推广节能咨询、诊断、设计、融资、改造、托管等“一站式”综合能源服务模式</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年内完成</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区商务委、区虹桥办</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区机管局、区教育局、区卫健委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22</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鼓励重点用能单位开展自身碳排放核算，研究碳减排路径，深入开展能效对标达标，持续推动企业争创能效“领跑者”等荣誉称号</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区商务委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区文化旅游局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23</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加强先进节能技术集成应用和示范，推进绿色商场、绿色旅游饭店等示范创建</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区商务委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区文化旅游局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24</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探索碳足迹应用场景</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区生态环境局、区市场监管局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25</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发挥跨国企业总部引领作用，践行节能降碳社会责任，在低碳技术应用、产业链碳中和等方面探索试点示范</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0"/>
                <w:szCs w:val="20"/>
                <w:u w:val="none"/>
              </w:rPr>
            </w:pPr>
            <w:r>
              <w:rPr>
                <w:rFonts w:hint="eastAsia" w:ascii="仿宋" w:hAnsi="仿宋" w:eastAsia="仿宋_GB2312" w:cs="仿宋"/>
                <w:i w:val="0"/>
                <w:color w:val="000000"/>
                <w:kern w:val="0"/>
                <w:sz w:val="20"/>
                <w:szCs w:val="20"/>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区商务委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四</w:t>
            </w:r>
          </w:p>
        </w:tc>
        <w:tc>
          <w:tcPr>
            <w:tcW w:w="9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加强建筑节能降碳</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26</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倡导绿色低碳规划设计理念，合理规划城市建筑面积总量，严控高耗能建筑建设</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0"/>
                <w:szCs w:val="20"/>
                <w:u w:val="none"/>
              </w:rPr>
            </w:pPr>
            <w:r>
              <w:rPr>
                <w:rFonts w:hint="eastAsia" w:ascii="仿宋" w:hAnsi="仿宋" w:eastAsia="仿宋_GB2312" w:cs="仿宋"/>
                <w:i w:val="0"/>
                <w:color w:val="000000"/>
                <w:kern w:val="0"/>
                <w:sz w:val="20"/>
                <w:szCs w:val="20"/>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区规划资源局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区建管委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27</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推行绿色施工，推动建筑信息模型（</w:t>
            </w:r>
            <w:r>
              <w:rPr>
                <w:rFonts w:hint="default" w:ascii="Times New Roman" w:hAnsi="Times New Roman" w:eastAsia="仿宋_GB2312" w:cs="Times New Roman"/>
                <w:i w:val="0"/>
                <w:color w:val="000000"/>
                <w:kern w:val="0"/>
                <w:sz w:val="21"/>
                <w:szCs w:val="21"/>
                <w:u w:val="none"/>
                <w:lang w:val="en-US" w:eastAsia="zh-CN" w:bidi="ar"/>
              </w:rPr>
              <w:t>BIM</w:t>
            </w:r>
            <w:r>
              <w:rPr>
                <w:rFonts w:hint="eastAsia" w:ascii="仿宋" w:hAnsi="仿宋" w:eastAsia="仿宋_GB2312" w:cs="仿宋"/>
                <w:i w:val="0"/>
                <w:color w:val="000000"/>
                <w:kern w:val="0"/>
                <w:sz w:val="21"/>
                <w:szCs w:val="21"/>
                <w:u w:val="none"/>
                <w:lang w:val="en-US" w:eastAsia="zh-CN" w:bidi="ar"/>
              </w:rPr>
              <w:t>）等智能化技术应用，推进装配式建筑和智能建造融合发展，推行全装修住宅</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0"/>
                <w:szCs w:val="20"/>
                <w:u w:val="none"/>
              </w:rPr>
            </w:pPr>
            <w:r>
              <w:rPr>
                <w:rFonts w:hint="eastAsia" w:ascii="仿宋" w:hAnsi="仿宋" w:eastAsia="仿宋_GB2312" w:cs="仿宋"/>
                <w:i w:val="0"/>
                <w:color w:val="000000"/>
                <w:kern w:val="0"/>
                <w:sz w:val="20"/>
                <w:szCs w:val="20"/>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区建管委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区房管局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28</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推广绿色低碳建材，推动建材循环利用，在城市更新中，严格实施建筑拆除管理制度，杜绝“大拆大建”</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0"/>
                <w:szCs w:val="20"/>
                <w:u w:val="none"/>
              </w:rPr>
            </w:pPr>
            <w:r>
              <w:rPr>
                <w:rFonts w:hint="eastAsia" w:ascii="仿宋" w:hAnsi="仿宋" w:eastAsia="仿宋_GB2312" w:cs="仿宋"/>
                <w:i w:val="0"/>
                <w:color w:val="000000"/>
                <w:kern w:val="0"/>
                <w:sz w:val="20"/>
                <w:szCs w:val="20"/>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区建管委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区房管局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29*</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聚焦超低能耗建筑规模化发展、既有建筑规模化节能改造、建筑可再生能源规模化应用等重点举措，编制“碳达峰作战图”；年内落实超低能耗建筑9万平方米</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年内完成</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区建管委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区虹桥办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30</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推动超低能耗建筑规模化发展，探索在土地转让环节中增加超低能耗建筑建设要求，推动未开工的政府投资项目和居住建筑按照超低能耗建筑标准建设</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0"/>
                <w:szCs w:val="20"/>
                <w:u w:val="none"/>
              </w:rPr>
            </w:pPr>
            <w:r>
              <w:rPr>
                <w:rFonts w:hint="eastAsia" w:ascii="仿宋" w:hAnsi="仿宋" w:eastAsia="仿宋_GB2312" w:cs="仿宋"/>
                <w:i w:val="0"/>
                <w:color w:val="000000"/>
                <w:kern w:val="0"/>
                <w:sz w:val="20"/>
                <w:szCs w:val="20"/>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区建管委、区规划资源局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31</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支持公共机构、大型公共建筑采取高效制冷行动，更新淘汰低效设备，采用智慧能源管理技术。</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0"/>
                <w:szCs w:val="20"/>
                <w:u w:val="none"/>
              </w:rPr>
            </w:pPr>
            <w:r>
              <w:rPr>
                <w:rFonts w:hint="eastAsia" w:ascii="仿宋" w:hAnsi="仿宋" w:eastAsia="仿宋_GB2312" w:cs="仿宋"/>
                <w:i w:val="0"/>
                <w:color w:val="000000"/>
                <w:kern w:val="0"/>
                <w:sz w:val="20"/>
                <w:szCs w:val="20"/>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区虹桥办、区建管委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32*</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持续推进以调适为主的既有公共建筑节能改造，完成改造25万平方米，其中单位建筑面积能耗下降15%以上的公共建筑节能改造15万平方米</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0"/>
                <w:szCs w:val="20"/>
                <w:u w:val="none"/>
              </w:rPr>
            </w:pPr>
            <w:r>
              <w:rPr>
                <w:rFonts w:hint="eastAsia" w:ascii="仿宋" w:hAnsi="仿宋" w:eastAsia="仿宋_GB2312" w:cs="仿宋"/>
                <w:i w:val="0"/>
                <w:color w:val="000000"/>
                <w:kern w:val="0"/>
                <w:sz w:val="20"/>
                <w:szCs w:val="20"/>
                <w:u w:val="none"/>
                <w:lang w:val="en-US" w:eastAsia="zh-CN" w:bidi="ar"/>
              </w:rPr>
              <w:t>年内完成</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区虹桥办、区建管委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21"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33</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新建建筑按照上海市绿色建筑管理办法执行，引导新建建筑运行能效达到先进水平，其中国家机关办公建筑、大型公共建筑以及其他由政府投资且单体建筑面积5000平方米以上的公共建筑按照二星级及以上标准建设，引导新建建筑运行能效达到先进水平</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0"/>
                <w:szCs w:val="20"/>
                <w:u w:val="none"/>
              </w:rPr>
            </w:pPr>
            <w:r>
              <w:rPr>
                <w:rFonts w:hint="eastAsia" w:ascii="仿宋" w:hAnsi="仿宋" w:eastAsia="仿宋_GB2312" w:cs="仿宋"/>
                <w:i w:val="0"/>
                <w:color w:val="000000"/>
                <w:kern w:val="0"/>
                <w:sz w:val="20"/>
                <w:szCs w:val="20"/>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区建管委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lang w:eastAsia="zh-CN"/>
              </w:rPr>
            </w:pPr>
            <w:r>
              <w:rPr>
                <w:rFonts w:hint="eastAsia" w:ascii="仿宋" w:hAnsi="仿宋" w:eastAsia="仿宋_GB2312" w:cs="仿宋"/>
                <w:i w:val="0"/>
                <w:color w:val="000000"/>
                <w:sz w:val="21"/>
                <w:szCs w:val="21"/>
                <w:u w:val="none"/>
                <w:lang w:eastAsia="zh-CN"/>
              </w:rPr>
              <w:t>区虹桥办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34*</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推动5万平方米以上商场创建绿色商场，力争创成3家，推进绿色餐厅创建；推进绿色旅游饭店等创建</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年内完成</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区商务委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区文化旅游局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94"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35*</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推进酒店资源循环利用，持续推进旅游饭店不主动提供客房一次性日用品工作；推进星级旅游饭店不主动提供一次性塑料用品</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年内完成</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区文化旅游局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17"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36</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提升公共建筑能耗监测系统管理功能，应用数智技术，升级建设建筑碳排放智慧监管平台，以能耗和碳排放“一网统管”为目标，叠加碳排放管理功能，完善全区“双碳”数字化管理体系。开展大型公共建筑能效对标公示工作，引导公共建筑运行能效能达尽达先进水平。优化建筑用能结构，提高建筑终端电气化水平，推进建筑设备智能群控和电力需求侧响应，推动可再生能源应用</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年内完成</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区虹桥办</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区建管委、区机管局、区生态环境局、区统计局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37</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支持企业、机构和建筑发起建立长三角</w:t>
            </w:r>
            <w:r>
              <w:rPr>
                <w:rFonts w:hint="default" w:ascii="Times New Roman" w:hAnsi="Times New Roman" w:eastAsia="仿宋_GB2312" w:cs="Times New Roman"/>
                <w:i w:val="0"/>
                <w:color w:val="000000"/>
                <w:kern w:val="0"/>
                <w:sz w:val="21"/>
                <w:szCs w:val="21"/>
                <w:u w:val="none"/>
                <w:lang w:val="en-US" w:eastAsia="zh-CN" w:bidi="ar"/>
              </w:rPr>
              <w:t>CN</w:t>
            </w:r>
            <w:r>
              <w:rPr>
                <w:rFonts w:hint="eastAsia" w:ascii="仿宋" w:hAnsi="仿宋" w:eastAsia="仿宋_GB2312" w:cs="仿宋"/>
                <w:i w:val="0"/>
                <w:color w:val="000000"/>
                <w:kern w:val="0"/>
                <w:sz w:val="21"/>
                <w:szCs w:val="21"/>
                <w:u w:val="none"/>
                <w:lang w:val="en-US" w:eastAsia="zh-CN" w:bidi="ar"/>
              </w:rPr>
              <w:t>100-建筑碳中和倡议机制，引导一批长三角区域的大型公共建筑实现碳中和，提升长宁服务长三角低碳发展的能力和水平</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区虹桥办</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38*</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对接市《居住建筑节能设计标准》《办公建筑能耗限额设计标准》编制进程，落实相关任务要求</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区建管委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39</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推进绿色生态城区建设</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持续推进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区建管委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区东虹办等相关部门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40</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通过政策引导低效园区和楼宇改造转型，打造绿色低碳产业孵化器、科创空间、特色产业园区</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区发改委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区科委、区国资委、区东虹办、区虹桥办、各街道镇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4" w:hRule="atLeast"/>
        </w:trPr>
        <w:tc>
          <w:tcPr>
            <w:tcW w:w="4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五</w:t>
            </w:r>
          </w:p>
        </w:tc>
        <w:tc>
          <w:tcPr>
            <w:tcW w:w="9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推进交通领域绿色低碳</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41</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扩大电力、氢能、天然气等新能源、清洁能源在交通领域的应用，推动社会乘用车领域电动化发展</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区建管委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42*</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推进新能源汽车发展，机关事业单位新增或更新一般公务用车80%使用新能源车；用于道路保洁和生活垃圾清运，且有适配车型的，更新或新增车辆100%使用新能源车；区属国有企业新增或更新车辆80%使用新能源车</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区建管委、区机管局、区国资委、区绿化市容局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区财政局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43</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将节能低碳理念贯穿于交通基础设施规划、建设、运营和维护全过程，降低全生命周期能耗和碳排放</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区建管委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44</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推进虹桥国际开放枢纽设施绿色化改造，加快推进充电桩、配套电网、加注（气）站、加氢站等配套基础设施建设</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区建管委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45*</w:t>
            </w:r>
          </w:p>
        </w:tc>
        <w:tc>
          <w:tcPr>
            <w:tcW w:w="5632" w:type="dxa"/>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加快城市轨道交通、中运量公交系统等大容量公共交通基础设施建设，推进公交优先战略</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区建管委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46*</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推进充电桩建设，新建公共充电桩350个，含快充50个，鼓励商业设施开放夜间停车充电</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年内完成</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区建管委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47</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创建市级充电桩示范小区10个</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年内完成</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区发改委、区房管局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区虹桥办、相关街道镇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93"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48</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完善公共交通体系，优化公交网络功能和布局。加强重点商圈、园区、居住区公交保障服务，打通公共交通“最后一公里”和“最后一米”</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区建管委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49</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搭建平台，沟通供需，持续探索推动本区企业机场内特种车辆实施新能源替代</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区商务委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50</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完善慢行交通设施，保障慢行交通路权，结合城市更新，依托“15分钟社区美好生活圈”建设，提高慢行交通网络的可达性和便捷性。</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区建管委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区地区办、各街镇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六</w:t>
            </w:r>
          </w:p>
        </w:tc>
        <w:tc>
          <w:tcPr>
            <w:tcW w:w="9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加强公共机构节能降碳</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51</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加强机关事业单位用能设备节能管理和行为节能，提倡节约用纸、用电和办公用品，减少一次性办公用品的使用</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区机管局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52</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提升绿色产品在政府采购中的比例</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区机管局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区财政局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53</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继续开展公共机构能源审计</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区机管局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区教育局、区卫生健康委、区文化旅游局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54*</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推进节约型机关建设，完成全区80%创建达标率</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年内完成</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区机管局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55*</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加快绿色学校创建，并推进生态文明示范校建设</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区教育局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56</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通过课堂教育、宣传活动、社会实践等形式开展节能低碳主题的教育教学活动</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区教育局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57</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在卫生系统推进</w:t>
            </w:r>
            <w:r>
              <w:rPr>
                <w:rFonts w:hint="default" w:ascii="Times New Roman" w:hAnsi="Times New Roman" w:eastAsia="仿宋_GB2312" w:cs="Times New Roman"/>
                <w:i w:val="0"/>
                <w:color w:val="000000"/>
                <w:kern w:val="0"/>
                <w:sz w:val="21"/>
                <w:szCs w:val="21"/>
                <w:u w:val="none"/>
                <w:lang w:val="en-US" w:eastAsia="zh-CN" w:bidi="ar"/>
              </w:rPr>
              <w:t>LED</w:t>
            </w:r>
            <w:r>
              <w:rPr>
                <w:rFonts w:hint="eastAsia" w:ascii="仿宋" w:hAnsi="仿宋" w:eastAsia="仿宋_GB2312" w:cs="仿宋"/>
                <w:i w:val="0"/>
                <w:color w:val="000000"/>
                <w:kern w:val="0"/>
                <w:sz w:val="21"/>
                <w:szCs w:val="21"/>
                <w:u w:val="none"/>
                <w:lang w:val="en-US" w:eastAsia="zh-CN" w:bidi="ar"/>
              </w:rPr>
              <w:t>灯更换工作，推进各医疗单位实施节能改造和优化能源管理</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区卫生健康委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4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七</w:t>
            </w:r>
          </w:p>
        </w:tc>
        <w:tc>
          <w:tcPr>
            <w:tcW w:w="9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发展循环经济助力降碳</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58*</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落实市塑料污染治理工作推进机制相关工作要求，明确塑料污染重点工作，各相关部门持续深入推进塑料污染治理工作，做好塑料污染治理月报工作</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区发改委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区商务委、区建管委、区市场监管局、区文化旅游局、区绿化市容局、区卫生健康委、区生态环境局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59</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全面推进一次性塑料制品源头减量，推广应用替代产品和模式</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区商务委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区发改委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60</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鼓励发展二手交易市场</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区商务委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61</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加强商场、超市、药店、书店和展会五大重点场景禁止使用一次性塑料购物袋工作落实，加强宣贯、检查，加强监督执法</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区商务委、区市场监管局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62</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健全垃圾分类长效管理机制，提升垃圾分类实效，保持居住区、单位生活垃圾分类达标率95%以上</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区绿化市容局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各街道镇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63*</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做好废弃汽车治理工作</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区发改委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区公安分局、区司法局、区建管委、区绿化市容局、区房管局、区城管局、区商务委等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831" w:hRule="atLeast"/>
        </w:trPr>
        <w:tc>
          <w:tcPr>
            <w:tcW w:w="4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0"/>
                <w:szCs w:val="20"/>
                <w:u w:val="none"/>
              </w:rPr>
            </w:pPr>
            <w:r>
              <w:rPr>
                <w:rFonts w:hint="eastAsia" w:ascii="仿宋" w:hAnsi="仿宋" w:eastAsia="仿宋_GB2312" w:cs="仿宋"/>
                <w:i w:val="0"/>
                <w:color w:val="000000"/>
                <w:kern w:val="0"/>
                <w:sz w:val="20"/>
                <w:szCs w:val="20"/>
                <w:u w:val="none"/>
                <w:lang w:val="en-US" w:eastAsia="zh-CN" w:bidi="ar"/>
              </w:rPr>
              <w:t>八</w:t>
            </w:r>
          </w:p>
        </w:tc>
        <w:tc>
          <w:tcPr>
            <w:tcW w:w="9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推动绿色低碳科技创新</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64</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支持企业承担国家、上海市绿色低碳重大科技项目，发挥在绿色低碳技术研发、示范应用和产业化中的主体作用，牵头成立创新联合体，探索建立绿色低碳“产学研金介”深度融合的新机制、新模式。鼓励节能减排研发企业申报高新技术企业、高新技术成果转化项目、重点新产品等，推荐相关企业享受科技政策，加强节能减排技术和产品的研发和转化应用</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区科委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区商务委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0"/>
                <w:szCs w:val="20"/>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65</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鼓励企业参与国际级、国家级绿色低碳产品、技术和项目评比活动</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区商务委、区科委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0"/>
                <w:szCs w:val="20"/>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66</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鼓励企业制定高于国家标准、行业标准、地方标准，具有竞争力的企业标准</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区市场监管局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0"/>
                <w:szCs w:val="20"/>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67</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加大力度开展绿色低碳循环技术创新和应用示范，积极争取国家、市级碳达峰碳中和重点实验室、技术创新中心、研发与转化功能型平台、碳中和研究机构等落地长宁，培育一批节能低碳和新能源研究机构</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区科委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区投促办、区东虹办、各街道镇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0"/>
                <w:szCs w:val="20"/>
                <w:u w:val="none"/>
              </w:rPr>
            </w:pPr>
            <w:r>
              <w:rPr>
                <w:rFonts w:hint="eastAsia" w:ascii="仿宋" w:hAnsi="仿宋" w:eastAsia="仿宋_GB2312" w:cs="仿宋"/>
                <w:i w:val="0"/>
                <w:color w:val="000000"/>
                <w:kern w:val="0"/>
                <w:sz w:val="20"/>
                <w:szCs w:val="20"/>
                <w:u w:val="none"/>
                <w:lang w:val="en-US" w:eastAsia="zh-CN" w:bidi="ar"/>
              </w:rPr>
              <w:t>九</w:t>
            </w:r>
          </w:p>
        </w:tc>
        <w:tc>
          <w:tcPr>
            <w:tcW w:w="9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巩固提升碳汇能力</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68*</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推进千座公园计划，推进一纺机地块公共绿化、凤岗路绿地“愚园怡亭”、周桥四号地块绿地、镜花园等口袋公园、外环林带生态绿道驿站等建设</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区绿化市容局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0"/>
                <w:szCs w:val="20"/>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69</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新建公园绿地1.68万平方米，新建立体绿化2.5万平方米</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区绿化市容局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0"/>
                <w:szCs w:val="20"/>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70</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增强绿道功能效益，在外环生态绿道长宁段贯通的基础上继续做好常态化精细化养护管理</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区绿化市容局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十</w:t>
            </w:r>
          </w:p>
        </w:tc>
        <w:tc>
          <w:tcPr>
            <w:tcW w:w="9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发动全民共同参与</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71</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推广绿色生活方式，围绕”衣、食、住、行、用”等日常行为，通过各类媒体宣传，提升全社会绿色低碳意识</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区生态环境局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72</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坚决遏制奢侈浪费和不合理消费，制止餐饮浪费行为</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区商务委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73*</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组织好全国节能宣传周主题宣传活动</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与国家安排同步</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区商务委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区总工会、团区委、区妇联等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74*</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组织开展全国低碳日、世界环境日等主题宣传活动</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年内完成</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区生态环境局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区总工会、团区委、区妇联等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75</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加强对公众的生态文明科普教育，普及碳达峰、碳中和基础知识。将绿色低碳理念有机融入文艺作品，制作文创作品和公益广告</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区生态环境局、区委宣传部、区文旅局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各街道镇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76*</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开展绿色社区创建，创建率达到80%</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年内完成</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区建管委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各街道镇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77</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积极探索生物多样性，推进5个社区生境花园建设，推进气候韧性社区试点</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区虹桥办</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区生态环境局、相关街道镇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8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78</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积极参加节能低碳交流活动，并加大对国内外知名节能低碳活动的引入力度，扩大长宁影响，服务长三角乃至全国低碳发展</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区发改委、区虹桥办</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区商务委、区投促办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79*</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对党政领导干部、职能部门干部、国有企事业单位领导及专业技术人员分阶段分层次开展碳达峰碳中和教育培训</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区发改委、区委组织部、区委党校</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区委宣传部、区国资委、区人社局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80</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鼓励用能单位参与能效领跑者评选</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区发改委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区商务委、区建管委、区文化旅游局、区机管局、区教育局、区卫生健康委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81*</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落实市级关于绿色低碳出行月活动相关工作要求</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区建管委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82</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引导激励市民参与绿色消费、低碳出行、可回收物分类等绿色低碳行动</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区生态环境局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区绿化市容局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83</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推广绿色低碳产品，支持商场、超市、旅游商品专卖店等开设绿色产品销售专区</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区商务委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84</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鼓励餐饮、商超、旅游、交通等消费领域开发碳普惠应用场景，引导激励市民参与绿色消费、低碳出行等实践</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区生态环境局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十一</w:t>
            </w:r>
          </w:p>
        </w:tc>
        <w:tc>
          <w:tcPr>
            <w:tcW w:w="9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强化主要污染物减排</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85*</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继续实施“批项目、核总量”制度，实行建设项目主要污染物排放总量指标等量或减量替代，控制主要污染物排放新增量，促进产业结构调整和升级</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区生态环境局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86</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持续推进环保三年行动计划、清洁空气行动计划等项目</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区生态环境局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87</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大力推动企业开展清洁生产审核</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区生态环境局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区商务委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88*</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加强有机液体储罐专项整治</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年内完成</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区生态环境局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89</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强化工业污染物减排和移动源污染物减排，持续推进挥发性有机物（</w:t>
            </w:r>
            <w:r>
              <w:rPr>
                <w:rFonts w:hint="default" w:ascii="Times New Roman" w:hAnsi="Times New Roman" w:eastAsia="仿宋_GB2312" w:cs="Times New Roman"/>
                <w:i w:val="0"/>
                <w:color w:val="000000"/>
                <w:kern w:val="0"/>
                <w:sz w:val="21"/>
                <w:szCs w:val="21"/>
                <w:u w:val="none"/>
                <w:lang w:val="en-US" w:eastAsia="zh-CN" w:bidi="ar"/>
              </w:rPr>
              <w:t>VOCs</w:t>
            </w:r>
            <w:r>
              <w:rPr>
                <w:rFonts w:hint="eastAsia" w:ascii="仿宋" w:hAnsi="仿宋" w:eastAsia="仿宋_GB2312" w:cs="仿宋"/>
                <w:i w:val="0"/>
                <w:color w:val="000000"/>
                <w:kern w:val="0"/>
                <w:sz w:val="21"/>
                <w:szCs w:val="21"/>
                <w:u w:val="none"/>
                <w:lang w:val="en-US" w:eastAsia="zh-CN" w:bidi="ar"/>
              </w:rPr>
              <w:t>）治理。完善商业体餐饮集约化管理绿色指数评价体系，强化餐饮油烟在线监测推进减污降碳协同增效</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区生态环境局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区商务委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十二</w:t>
            </w:r>
          </w:p>
        </w:tc>
        <w:tc>
          <w:tcPr>
            <w:tcW w:w="9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强化责任落实并完善基础保障措施</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90</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做好市对区2022年碳达峰碳中和及节能目标责任评价工作</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年内完成</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区发改委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区节能减排工作领导小组成员单位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91</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开展区节能低碳和循环经济“十四五”专项规划中期评估</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年内完成</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区发改委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区节能减排工作领导小组成员单位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92</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开展碳达峰目标任务年度评估，及时向市碳达峰碳中和工作领导小组报告工作进展</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区发改委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93</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强化能耗和碳排放目标责任，将碳达峰、碳中和相关指标纳入经济社会发展综合评价体系，将目标任务落实情况纳入区机关绩效考核体系和区政府重点工作</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年内完成</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区发改委、区委组织部</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区府办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94</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组织开展重点用能单位报送能源利用状况报告和温室气体排放报告工作。开展重点用能单位能耗在线监测、计量、统计联合行政检查</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年内完成</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区发改委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区商务委、区科委、区体育局、区虹桥办、区市场监管局、区统计局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75"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95*</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持续推进虚拟货币挖矿整治活动</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区发改委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区委网信办、区大数据中心、区市场监管局、区商务委、区科委、区国资委、区机管局、区教育局、区金融办、区公安分局、各街道镇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96*</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进一步加大节能低碳资金投入和执行，做好《长宁区支持节能减排降碳实施办法》政策管理工作，加强政策宣传培训，制定出台2023年度政策申报指南，积极组织开展项目申报。落实节能减排降碳税收优惠政策措施。</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区发改委、区税务局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区财政局、区建管委、区绿化市容局、区生态环境局、区教育局、相关街镇等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97*</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严格实施固定资产投资项目节能审查，科学评估新增用能项目对能耗双控和碳达峰目标的影响，加强监管，严格节能验收闭环管理</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区发改委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98*</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严格实施环境影响评价制度，推进主要污染物总量控制制度与环评和排污许可制的有机衔接</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区生态环境局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99</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持续扩大重点用能单位能耗监测平台功能和接入范围</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区市场监管局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区发改委、区商务委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100</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加强能源统计分析与服务，对全区和重点用能单位节能目标完成情况及时预警</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区统计局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101</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完善能源计量工作，组织开展能源计量法律法规及业务知识培训宣贯。加强能源计量审查和现场维护，深入开展能源计量审查、能源使用情况周期排查、能源计量器具核查等工作</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区市场监管局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102*</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落实主要大气污染物排放实时总量测算和评估预警体系相关工作要求；推进重型柴油车、非道路移动机械远程在线监控的安装和联网</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区生态环境局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区建管委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103*</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加强移动源联动执法监管，开展机动车路检路查和入户检查，开展非道路移动机械专项执法</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区生态环境局</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区建管委、区公安分局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104</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加强对纳管工业企业废水达标排放的监督管理</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区生态环境局、区建管委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楷体_GB2312" w:hAnsi="宋体" w:eastAsia="楷体_GB2312" w:cs="楷体_GB2312"/>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105</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探索实施全面绿色电力的碳中和“园中园”综合智慧能源管理试点项目</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区虹桥办、区东虹办、区科委、区商务委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106</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积极推进源网荷储一体化和多能互补发展，推广以分布式“新能源+储能”为主体的微电网和电动汽车有序充电，适时推进园区、商业区储能试点</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区虹桥办、区东虹办、区科委、区商务委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仿宋" w:hAnsi="仿宋" w:eastAsia="仿宋_GB2312" w:cs="仿宋"/>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4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_GB2312" w:cs="仿宋"/>
                <w:i w:val="0"/>
                <w:color w:val="000000"/>
                <w:sz w:val="21"/>
                <w:szCs w:val="21"/>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107</w:t>
            </w:r>
          </w:p>
        </w:tc>
        <w:tc>
          <w:tcPr>
            <w:tcW w:w="56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鼓励企业建立数字化绿色低碳协同创新机制，开发数字绿色低碳系统产品和智慧管理解决方案，并加强推广应用</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全年推进</w:t>
            </w:r>
          </w:p>
        </w:tc>
        <w:tc>
          <w:tcPr>
            <w:tcW w:w="24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_GB2312" w:cs="仿宋"/>
                <w:b/>
                <w:i w:val="0"/>
                <w:color w:val="000000"/>
                <w:sz w:val="21"/>
                <w:szCs w:val="21"/>
                <w:u w:val="none"/>
              </w:rPr>
            </w:pPr>
            <w:r>
              <w:rPr>
                <w:rFonts w:hint="eastAsia" w:ascii="仿宋" w:hAnsi="仿宋" w:eastAsia="仿宋_GB2312" w:cs="仿宋"/>
                <w:b/>
                <w:i w:val="0"/>
                <w:color w:val="000000"/>
                <w:kern w:val="0"/>
                <w:sz w:val="21"/>
                <w:szCs w:val="21"/>
                <w:u w:val="none"/>
                <w:lang w:val="en-US" w:eastAsia="zh-CN" w:bidi="ar"/>
              </w:rPr>
              <w:t>区虹桥办、区科委</w:t>
            </w:r>
          </w:p>
        </w:tc>
        <w:tc>
          <w:tcPr>
            <w:tcW w:w="28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_GB2312" w:cs="仿宋"/>
                <w:i w:val="0"/>
                <w:color w:val="000000"/>
                <w:sz w:val="21"/>
                <w:szCs w:val="21"/>
                <w:u w:val="none"/>
              </w:rPr>
            </w:pPr>
            <w:r>
              <w:rPr>
                <w:rFonts w:hint="eastAsia" w:ascii="仿宋" w:hAnsi="仿宋" w:eastAsia="仿宋_GB2312" w:cs="仿宋"/>
                <w:i w:val="0"/>
                <w:color w:val="000000"/>
                <w:kern w:val="0"/>
                <w:sz w:val="21"/>
                <w:szCs w:val="21"/>
                <w:u w:val="none"/>
                <w:lang w:val="en-US" w:eastAsia="zh-CN" w:bidi="ar"/>
              </w:rPr>
              <w:t>区商务委</w:t>
            </w:r>
          </w:p>
        </w:tc>
      </w:tr>
    </w:tbl>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sz w:val="32"/>
          <w:szCs w:val="32"/>
          <w:lang w:val="en-US" w:eastAsia="zh-CN"/>
        </w:rPr>
      </w:pPr>
    </w:p>
    <w:sectPr>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等线">
    <w:altName w:val="宋体"/>
    <w:panose1 w:val="02010600030101010101"/>
    <w:charset w:val="86"/>
    <w:family w:val="auto"/>
    <w:pitch w:val="default"/>
    <w:sig w:usb0="00000000" w:usb1="00000000"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003" w:usb1="288F0000" w:usb2="00000006"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eastAsia="zh-CN"/>
                            </w:rPr>
                            <w:fldChar w:fldCharType="end"/>
                          </w:r>
                          <w:r>
                            <w:rPr>
                              <w:rFonts w:hint="eastAsia" w:ascii="仿宋_GB2312" w:hAnsi="仿宋_GB2312" w:eastAsia="仿宋_GB2312" w:cs="仿宋_GB2312"/>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eastAsia="zh-CN"/>
                      </w:rPr>
                      <w:fldChar w:fldCharType="end"/>
                    </w:r>
                    <w:r>
                      <w:rPr>
                        <w:rFonts w:hint="eastAsia" w:ascii="仿宋_GB2312" w:hAnsi="仿宋_GB2312" w:eastAsia="仿宋_GB2312" w:cs="仿宋_GB2312"/>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0D3B08"/>
    <w:rsid w:val="0A93127A"/>
    <w:rsid w:val="15F60B00"/>
    <w:rsid w:val="18E076C5"/>
    <w:rsid w:val="191F79D9"/>
    <w:rsid w:val="19B75D33"/>
    <w:rsid w:val="1DAA6B50"/>
    <w:rsid w:val="220F553F"/>
    <w:rsid w:val="2B315FB0"/>
    <w:rsid w:val="2F003B59"/>
    <w:rsid w:val="34D26825"/>
    <w:rsid w:val="376366B6"/>
    <w:rsid w:val="3DE23350"/>
    <w:rsid w:val="3F417D35"/>
    <w:rsid w:val="537644BD"/>
    <w:rsid w:val="540D3B08"/>
    <w:rsid w:val="570D767F"/>
    <w:rsid w:val="5B5341CD"/>
    <w:rsid w:val="631E6621"/>
    <w:rsid w:val="6C473BF9"/>
    <w:rsid w:val="72A13814"/>
    <w:rsid w:val="759322AD"/>
    <w:rsid w:val="770657C0"/>
    <w:rsid w:val="7FEB2BB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Office_10.8.2.6515_F1E327BC-269C-435d-A152-05C5408002CA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2023-04-04T02:21:00Z</dcterms:created>
  <dc:creator>ASUS</dc:creator>
  <cp:lastModifiedBy>黄维鸿</cp:lastModifiedBy>
  <cp:lastPrinted>2023-04-11T06:44:00Z</cp:lastPrinted>
  <dcterms:modified xsi:type="dcterms:W3CDTF">2023-05-06T10:19:31Z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2052-10.8.2.6515</vt:lpwstr>
  </property>
</Properties>
</file>