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8B585">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22C0A92C">
      <w:pPr>
        <w:spacing w:line="600" w:lineRule="exact"/>
        <w:jc w:val="both"/>
        <w:rPr>
          <w:rFonts w:hint="default" w:ascii="宋体" w:hAnsi="宋体" w:eastAsia="宋体" w:cs="黑体"/>
          <w:b/>
          <w:bCs/>
          <w:sz w:val="44"/>
          <w:szCs w:val="44"/>
          <w:lang w:val="en-US" w:eastAsia="zh-CN"/>
        </w:rPr>
      </w:pPr>
    </w:p>
    <w:p w14:paraId="5B2BD1B5">
      <w:pPr>
        <w:keepNext w:val="0"/>
        <w:keepLines w:val="0"/>
        <w:pageBreakBefore w:val="0"/>
        <w:widowControl w:val="0"/>
        <w:suppressLineNumbers w:val="0"/>
        <w:shd w:val="clear" w:fill="FFFFFF"/>
        <w:kinsoku/>
        <w:wordWrap w:val="0"/>
        <w:overflowPunct/>
        <w:topLinePunct/>
        <w:autoSpaceDE/>
        <w:autoSpaceDN/>
        <w:bidi w:val="0"/>
        <w:adjustRightInd w:val="0"/>
        <w:snapToGrid w:val="0"/>
        <w:spacing w:before="0" w:beforeAutospacing="0" w:after="0" w:afterAutospacing="0" w:line="540" w:lineRule="exact"/>
        <w:ind w:right="0"/>
        <w:jc w:val="center"/>
        <w:textAlignment w:val="auto"/>
        <w:rPr>
          <w:rFonts w:hint="eastAsia" w:ascii="方正小标宋简体" w:hAnsi="方正小标宋简体" w:eastAsia="方正小标宋简体" w:cs="方正小标宋简体"/>
          <w:i w:val="0"/>
          <w:caps w:val="0"/>
          <w:color w:val="000000"/>
          <w:spacing w:val="0"/>
          <w:kern w:val="0"/>
          <w:sz w:val="44"/>
          <w:szCs w:val="44"/>
          <w:shd w:val="clear" w:fill="FFFFFF"/>
          <w:lang w:val="en-US" w:eastAsia="zh-CN" w:bidi="ar"/>
        </w:rPr>
      </w:pPr>
      <w:bookmarkStart w:id="2" w:name="_GoBack"/>
      <w:r>
        <w:rPr>
          <w:rFonts w:hint="eastAsia" w:ascii="方正小标宋简体" w:hAnsi="方正小标宋简体" w:eastAsia="方正小标宋简体" w:cs="方正小标宋简体"/>
          <w:i w:val="0"/>
          <w:caps w:val="0"/>
          <w:color w:val="000000"/>
          <w:spacing w:val="0"/>
          <w:kern w:val="0"/>
          <w:sz w:val="44"/>
          <w:szCs w:val="44"/>
          <w:shd w:val="clear" w:fill="FFFFFF"/>
          <w:lang w:val="en-US" w:eastAsia="zh-CN" w:bidi="ar"/>
        </w:rPr>
        <w:t>浦东新区2024-2025年高素质农民培育学用贯通综合试点实施方案</w:t>
      </w:r>
    </w:p>
    <w:bookmarkEnd w:id="2"/>
    <w:p w14:paraId="2F9DB027">
      <w:pPr>
        <w:ind w:firstLine="723" w:firstLineChars="200"/>
        <w:rPr>
          <w:rFonts w:ascii="Times New Roman" w:hAnsi="Times New Roman" w:eastAsia="华文中宋" w:cs="Times New Roman"/>
          <w:b/>
          <w:bCs/>
          <w:sz w:val="36"/>
          <w:szCs w:val="36"/>
          <w14:ligatures w14:val="standardContextual"/>
        </w:rPr>
      </w:pPr>
    </w:p>
    <w:p w14:paraId="35AF76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14:ligatures w14:val="standardContextual"/>
        </w:rPr>
      </w:pPr>
      <w:r>
        <w:rPr>
          <w:rFonts w:ascii="Times New Roman" w:hAnsi="Times New Roman" w:eastAsia="黑体" w:cs="Times New Roman"/>
          <w:sz w:val="32"/>
          <w:szCs w:val="32"/>
          <w14:ligatures w14:val="standardContextual"/>
        </w:rPr>
        <w:t>一、</w:t>
      </w:r>
      <w:r>
        <w:rPr>
          <w:rFonts w:hint="eastAsia" w:ascii="Times New Roman" w:hAnsi="Times New Roman" w:eastAsia="黑体" w:cs="Times New Roman"/>
          <w:sz w:val="32"/>
          <w:szCs w:val="32"/>
          <w14:ligatures w14:val="standardContextual"/>
        </w:rPr>
        <w:t>总体要求</w:t>
      </w:r>
    </w:p>
    <w:p w14:paraId="3DA4D6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14:ligatures w14:val="standardContextual"/>
        </w:rPr>
      </w:pPr>
      <w:r>
        <w:rPr>
          <w:rFonts w:hint="eastAsia" w:ascii="Times New Roman" w:hAnsi="Times New Roman" w:eastAsia="仿宋_GB2312" w:cs="Times New Roman"/>
          <w:sz w:val="32"/>
          <w:szCs w:val="32"/>
          <w14:ligatures w14:val="standardContextual"/>
        </w:rPr>
        <w:t>以习近平新时代中国特色社会主义思想为指导，深入贯彻习近平总书记关于“三农”工作重要论述和视察上海重要讲话指示精神，认真落实中央一号文件精神，根据浦东新区区委、区府要求，围绕“打造全面推进乡村振兴的引领区样板”目标定位，聚焦农村一二三产业融合发展和农村新产业、新业态的人才需求，坚持学用结合、以用为主、重在实效的理念，开展学用贯通试点，拓展培育目标，拓宽培育内容，创新培育方式，探索培育路径，统筹多方资源，推动人才培养和就业创业紧密联系、双向贯通，大力提高农民综合素质，促进本区农村经济社会繁荣，提升多渠道、多行业、多地区就业增收能力。</w:t>
      </w:r>
    </w:p>
    <w:p w14:paraId="29BB95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14:ligatures w14:val="standardContextual"/>
        </w:rPr>
      </w:pPr>
      <w:r>
        <w:rPr>
          <w:rFonts w:hint="eastAsia" w:ascii="Times New Roman" w:hAnsi="Times New Roman" w:eastAsia="黑体" w:cs="Times New Roman"/>
          <w:sz w:val="32"/>
          <w:szCs w:val="32"/>
          <w14:ligatures w14:val="standardContextual"/>
        </w:rPr>
        <w:t>二</w:t>
      </w:r>
      <w:r>
        <w:rPr>
          <w:rFonts w:ascii="Times New Roman" w:hAnsi="Times New Roman" w:eastAsia="黑体" w:cs="Times New Roman"/>
          <w:sz w:val="32"/>
          <w:szCs w:val="32"/>
          <w14:ligatures w14:val="standardContextual"/>
        </w:rPr>
        <w:t>、</w:t>
      </w:r>
      <w:r>
        <w:rPr>
          <w:rFonts w:hint="eastAsia" w:ascii="Times New Roman" w:hAnsi="Times New Roman" w:eastAsia="黑体" w:cs="Times New Roman"/>
          <w:sz w:val="32"/>
          <w:szCs w:val="32"/>
          <w14:ligatures w14:val="standardContextual"/>
        </w:rPr>
        <w:t>目标任务</w:t>
      </w:r>
    </w:p>
    <w:p w14:paraId="0B6178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14:ligatures w14:val="standardContextual"/>
        </w:rPr>
      </w:pPr>
      <w:r>
        <w:rPr>
          <w:rFonts w:hint="eastAsia" w:ascii="Times New Roman" w:hAnsi="Times New Roman" w:eastAsia="仿宋_GB2312" w:cs="Times New Roman"/>
          <w:sz w:val="32"/>
          <w:szCs w:val="32"/>
          <w14:ligatures w14:val="standardContextual"/>
        </w:rPr>
        <w:t>2024-2025年，围绕浦东新区现代农业产业高水平发展、农村集体经济高质量发展，遴选培育适应引领区乡村振兴的高素质农民100人。在两年培养期内协议帮带约600人，通过产业平台辐射带动约2000人。</w:t>
      </w:r>
    </w:p>
    <w:p w14:paraId="0DBE1814">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（一）培育乡村CEO50人</w:t>
      </w:r>
    </w:p>
    <w:p w14:paraId="08D9F9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乡村CEO即乡村职业经理人，属于农村集体经济经营管理类人才，他们致力于特色农业、智慧农业、生态农业、文旅农业、康养农业等融合性新业态运营。其主要职能包括盘活集体资产、个体资产在内的农村闲置资源，理顺农村产业发展方向，调动农民主体意识，促进农业农村现代化转型等。</w:t>
      </w:r>
      <w:r>
        <w:rPr>
          <w:rFonts w:hint="eastAsia" w:ascii="Times New Roman" w:hAnsi="Times New Roman" w:eastAsia="仿宋_GB2312" w:cs="Times New Roman"/>
          <w:sz w:val="32"/>
          <w:szCs w:val="32"/>
        </w:rPr>
        <w:t>本项目计划主要</w:t>
      </w:r>
      <w:r>
        <w:rPr>
          <w:rFonts w:hint="eastAsia" w:ascii="Times New Roman" w:hAnsi="Times New Roman" w:eastAsia="仿宋_GB2312" w:cs="Times New Roman"/>
          <w:sz w:val="32"/>
          <w:szCs w:val="32"/>
          <w14:ligatures w14:val="standardContextual"/>
        </w:rPr>
        <w:t>在乡村振兴示范村、美丽乡村示范村等</w:t>
      </w:r>
      <w:r>
        <w:rPr>
          <w:rFonts w:ascii="Times New Roman" w:hAnsi="Times New Roman" w:eastAsia="仿宋_GB2312" w:cs="Times New Roman"/>
          <w:sz w:val="32"/>
          <w:szCs w:val="32"/>
          <w14:ligatures w14:val="standardContextual"/>
        </w:rPr>
        <w:t>村</w:t>
      </w:r>
      <w:r>
        <w:rPr>
          <w:rFonts w:hint="eastAsia" w:ascii="Times New Roman" w:hAnsi="Times New Roman" w:eastAsia="仿宋_GB2312" w:cs="Times New Roman"/>
          <w:sz w:val="32"/>
          <w:szCs w:val="32"/>
          <w14:ligatures w14:val="standardContextual"/>
        </w:rPr>
        <w:t>中遴选50个</w:t>
      </w:r>
      <w:r>
        <w:rPr>
          <w:rFonts w:ascii="Times New Roman" w:hAnsi="Times New Roman" w:eastAsia="仿宋_GB2312" w:cs="Times New Roman"/>
          <w:sz w:val="32"/>
          <w:szCs w:val="32"/>
          <w14:ligatures w14:val="standardContextual"/>
        </w:rPr>
        <w:t>村</w:t>
      </w:r>
      <w:r>
        <w:rPr>
          <w:rFonts w:hint="eastAsia" w:ascii="Times New Roman" w:hAnsi="Times New Roman" w:eastAsia="仿宋_GB2312" w:cs="Times New Roman"/>
          <w:sz w:val="32"/>
          <w:szCs w:val="32"/>
          <w14:ligatures w14:val="standardContextual"/>
        </w:rPr>
        <w:t>，为每村培育1名从事整村运营或项目运营的乡村CEO。</w:t>
      </w:r>
      <w:r>
        <w:rPr>
          <w:rFonts w:hint="eastAsia" w:ascii="Times New Roman" w:hAnsi="Times New Roman" w:eastAsia="仿宋_GB2312" w:cs="Times New Roman"/>
          <w:bCs/>
          <w:sz w:val="32"/>
          <w:szCs w:val="32"/>
        </w:rPr>
        <w:t>提升乡村CEO在乡村经营、集体经济管理、乡村数字化等领域的专业水平，培养具备实战能力和创新精神的乡村经营管理人才，推动本区和美乡村建设“三百”行动，促进乡村振兴战略实施</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（责任部门：委组人处、农村</w:t>
      </w:r>
      <w:r>
        <w:rPr>
          <w:rFonts w:ascii="Times New Roman" w:hAnsi="Times New Roman" w:eastAsia="仿宋_GB2312" w:cs="Times New Roman"/>
          <w:b/>
          <w:bCs/>
          <w:sz w:val="32"/>
          <w:szCs w:val="32"/>
        </w:rPr>
        <w:t>处、</w:t>
      </w:r>
      <w:r>
        <w:rPr>
          <w:rFonts w:hint="eastAsia" w:ascii="Times New Roman" w:hAnsi="Times New Roman" w:eastAsia="仿宋_GB2312" w:cs="Times New Roman"/>
          <w:b/>
          <w:bCs/>
          <w:sz w:val="32"/>
          <w:szCs w:val="32"/>
        </w:rPr>
        <w:t>集资处牵头，指导处、综合处、区农广校、农经站、各相关镇配合）</w:t>
      </w:r>
    </w:p>
    <w:p w14:paraId="315E78F9">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（二）培育智慧农业管理师50人</w:t>
      </w:r>
    </w:p>
    <w:p w14:paraId="08A795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0"/>
          <w14:ligatures w14:val="standardContextual"/>
        </w:rPr>
      </w:pPr>
      <w:r>
        <w:rPr>
          <w:rFonts w:hint="eastAsia" w:ascii="Times New Roman" w:hAnsi="Times New Roman" w:eastAsia="仿宋_GB2312" w:cs="Times New Roman"/>
          <w:sz w:val="32"/>
          <w:szCs w:val="30"/>
          <w14:ligatures w14:val="standardContextual"/>
        </w:rPr>
        <w:t>智慧</w:t>
      </w:r>
      <w:r>
        <w:rPr>
          <w:rFonts w:ascii="Times New Roman" w:hAnsi="Times New Roman" w:eastAsia="仿宋_GB2312" w:cs="Times New Roman"/>
          <w:sz w:val="32"/>
          <w:szCs w:val="30"/>
          <w14:ligatures w14:val="standardContextual"/>
        </w:rPr>
        <w:t>农业管理师</w:t>
      </w:r>
      <w:r>
        <w:rPr>
          <w:rFonts w:hint="eastAsia" w:ascii="Times New Roman" w:hAnsi="Times New Roman" w:eastAsia="仿宋_GB2312" w:cs="Times New Roman"/>
          <w:sz w:val="32"/>
          <w:szCs w:val="30"/>
          <w14:ligatures w14:val="standardContextual"/>
        </w:rPr>
        <w:t>服务于现代农业生产</w:t>
      </w:r>
      <w:r>
        <w:rPr>
          <w:rFonts w:hint="eastAsia" w:ascii="仿宋_GB2312" w:hAnsi="仿宋_GB2312" w:eastAsia="仿宋_GB2312" w:cs="仿宋_GB2312"/>
          <w:sz w:val="32"/>
          <w:szCs w:val="30"/>
        </w:rPr>
        <w:t>，</w:t>
      </w:r>
      <w:r>
        <w:rPr>
          <w:rFonts w:hint="eastAsia" w:ascii="Times New Roman" w:hAnsi="Times New Roman" w:eastAsia="仿宋_GB2312" w:cs="Times New Roman"/>
          <w:sz w:val="32"/>
          <w:szCs w:val="30"/>
          <w14:ligatures w14:val="standardContextual"/>
        </w:rPr>
        <w:t>负责水稻无人农场、智慧菜园、智慧果园等现代化、智能化生产基地的技术管理，工作职责包括制定生产计划、组织人员使用智慧化设施装备和技术进行农业生产、采集和分析数据实施数字化管理等。本项目计划针对从事现代设施农业项目运营、无人农场建设、农机社会化服务的规模型农业经营主体用人需求</w:t>
      </w:r>
      <w:r>
        <w:rPr>
          <w:rFonts w:hint="eastAsia" w:ascii="Times New Roman" w:hAnsi="Times New Roman" w:eastAsia="仿宋_GB2312" w:cs="Times New Roman"/>
          <w:sz w:val="32"/>
          <w:szCs w:val="30"/>
        </w:rPr>
        <w:t>，</w:t>
      </w:r>
      <w:r>
        <w:rPr>
          <w:rFonts w:hint="eastAsia" w:ascii="Times New Roman" w:hAnsi="Times New Roman" w:eastAsia="仿宋_GB2312" w:cs="Times New Roman"/>
          <w:sz w:val="32"/>
          <w:szCs w:val="30"/>
          <w14:ligatures w14:val="standardContextual"/>
        </w:rPr>
        <w:t>培养既</w:t>
      </w:r>
      <w:r>
        <w:rPr>
          <w:rFonts w:hint="eastAsia" w:ascii="仿宋_GB2312" w:hAnsi="仿宋_GB2312" w:eastAsia="仿宋_GB2312" w:cs="仿宋_GB2312"/>
          <w:sz w:val="32"/>
          <w:szCs w:val="30"/>
        </w:rPr>
        <w:t>懂农业专业知识又懂信息技术的复合型人才</w:t>
      </w:r>
      <w:r>
        <w:rPr>
          <w:rFonts w:hint="eastAsia" w:ascii="Times New Roman" w:hAnsi="Times New Roman" w:eastAsia="仿宋_GB2312" w:cs="Times New Roman"/>
          <w:sz w:val="32"/>
          <w:szCs w:val="30"/>
          <w14:ligatures w14:val="standardContextual"/>
        </w:rPr>
        <w:t>，助力全面实施“高科技数字农业支撑行动”，发展高质高效现代农业，保障粮食安全和菜篮子有效供给。</w:t>
      </w:r>
      <w:r>
        <w:rPr>
          <w:rFonts w:hint="eastAsia" w:ascii="Times New Roman" w:hAnsi="Times New Roman" w:eastAsia="仿宋_GB2312" w:cs="Times New Roman"/>
          <w:b/>
          <w:bCs/>
          <w:sz w:val="32"/>
          <w:szCs w:val="32"/>
        </w:rPr>
        <w:t>（责任部门：委组人处、农业处牵头，综合处、项目处、区农广校、农技中心、农业农村监管中心、农机站、各相关镇配合）</w:t>
      </w:r>
    </w:p>
    <w:p w14:paraId="4948DD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28"/>
          <w:szCs w:val="30"/>
        </w:rPr>
      </w:pPr>
      <w:bookmarkStart w:id="0" w:name="_Hlk172064746"/>
      <w:r>
        <w:rPr>
          <w:rFonts w:hint="eastAsia" w:ascii="Times New Roman" w:hAnsi="Times New Roman" w:eastAsia="黑体" w:cs="Times New Roman"/>
          <w:sz w:val="32"/>
          <w:szCs w:val="30"/>
          <w14:ligatures w14:val="standardContextual"/>
        </w:rPr>
        <w:t>三</w:t>
      </w:r>
      <w:r>
        <w:rPr>
          <w:rFonts w:ascii="Times New Roman" w:hAnsi="Times New Roman" w:eastAsia="黑体" w:cs="Times New Roman"/>
          <w:sz w:val="32"/>
          <w:szCs w:val="30"/>
          <w14:ligatures w14:val="standardContextual"/>
        </w:rPr>
        <w:t>、</w:t>
      </w:r>
      <w:r>
        <w:rPr>
          <w:rFonts w:hint="eastAsia" w:ascii="Times New Roman" w:hAnsi="Times New Roman" w:eastAsia="黑体" w:cs="Times New Roman"/>
          <w:sz w:val="32"/>
          <w:szCs w:val="30"/>
          <w14:ligatures w14:val="standardContextual"/>
        </w:rPr>
        <w:t>组织实施</w:t>
      </w:r>
    </w:p>
    <w:bookmarkEnd w:id="0"/>
    <w:p w14:paraId="2EC3A50F">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 xml:space="preserve">（一）培育对象 </w:t>
      </w:r>
    </w:p>
    <w:p w14:paraId="16C3F0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14:ligatures w14:val="standardContextual"/>
        </w:rPr>
      </w:pPr>
      <w:r>
        <w:rPr>
          <w:rFonts w:hint="eastAsia" w:ascii="Times New Roman" w:hAnsi="Times New Roman" w:eastAsia="仿宋_GB2312" w:cs="Times New Roman"/>
          <w:sz w:val="32"/>
          <w:szCs w:val="32"/>
          <w14:ligatures w14:val="standardContextual"/>
        </w:rPr>
        <w:t>培育对象应满足从事本区乡村产业、发展势头良好、热衷联农带农的总体要求。优先考虑返乡大学生、农民工、退役军人、“头雁”、“农二代”等人群。乡村CEO重点针对村集体经济组织管理人员、强村公司管理人员等。智慧农业管理师重点针对具有农业知识基础，从事智慧农业技术管理的人员。</w:t>
      </w:r>
    </w:p>
    <w:p w14:paraId="22B12994">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（二）培育内容</w:t>
      </w:r>
    </w:p>
    <w:p w14:paraId="0DB7B54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sz w:val="32"/>
          <w:szCs w:val="32"/>
          <w14:ligatures w14:val="standardContextual"/>
        </w:rPr>
      </w:pPr>
      <w:r>
        <w:rPr>
          <w:rFonts w:hint="eastAsia" w:ascii="Times New Roman" w:hAnsi="Times New Roman" w:eastAsia="楷体_GB2312" w:cs="Times New Roman"/>
          <w:b/>
          <w:bCs/>
          <w:sz w:val="32"/>
          <w:szCs w:val="32"/>
        </w:rPr>
        <w:t>1.乡村CEO。</w:t>
      </w:r>
      <w:r>
        <w:rPr>
          <w:rFonts w:hint="eastAsia" w:ascii="Times New Roman" w:hAnsi="Times New Roman" w:eastAsia="仿宋_GB2312" w:cs="Times New Roman"/>
          <w:sz w:val="32"/>
          <w:szCs w:val="32"/>
          <w14:ligatures w14:val="standardContextual"/>
        </w:rPr>
        <w:t>该职业</w:t>
      </w:r>
      <w:r>
        <w:rPr>
          <w:rFonts w:ascii="Times New Roman" w:hAnsi="Times New Roman" w:eastAsia="仿宋_GB2312" w:cs="Times New Roman"/>
          <w:sz w:val="32"/>
          <w:szCs w:val="32"/>
          <w14:ligatures w14:val="standardContextual"/>
        </w:rPr>
        <w:t>应当</w:t>
      </w:r>
      <w:r>
        <w:rPr>
          <w:rFonts w:hint="eastAsia" w:ascii="Times New Roman" w:hAnsi="Times New Roman" w:eastAsia="仿宋_GB2312" w:cs="Times New Roman"/>
          <w:sz w:val="32"/>
          <w:szCs w:val="32"/>
          <w14:ligatures w14:val="standardContextual"/>
        </w:rPr>
        <w:t>具备乡村经营、乡村资源开发、农业农村数字化等领域专业知识和能力。培训课程</w:t>
      </w:r>
      <w:r>
        <w:rPr>
          <w:rFonts w:ascii="Times New Roman" w:hAnsi="Times New Roman" w:eastAsia="仿宋_GB2312" w:cs="Times New Roman"/>
          <w:sz w:val="32"/>
          <w:szCs w:val="32"/>
          <w14:ligatures w14:val="standardContextual"/>
        </w:rPr>
        <w:t>包括</w:t>
      </w:r>
      <w:r>
        <w:rPr>
          <w:rFonts w:hint="eastAsia" w:ascii="Times New Roman" w:hAnsi="Times New Roman" w:eastAsia="仿宋_GB2312" w:cs="Times New Roman"/>
          <w:sz w:val="32"/>
          <w:szCs w:val="32"/>
          <w14:ligatures w14:val="standardContextual"/>
        </w:rPr>
        <w:t>村庄发展规划、农业产业布局、企业管理、市场营销与品牌建设、农村数字化管理等。理论课程结束后，还</w:t>
      </w:r>
      <w:r>
        <w:rPr>
          <w:rFonts w:ascii="Times New Roman" w:hAnsi="Times New Roman" w:eastAsia="仿宋_GB2312" w:cs="Times New Roman"/>
          <w:sz w:val="32"/>
          <w:szCs w:val="32"/>
          <w14:ligatures w14:val="standardContextual"/>
        </w:rPr>
        <w:t>将</w:t>
      </w:r>
      <w:r>
        <w:rPr>
          <w:rFonts w:hint="eastAsia" w:ascii="Times New Roman" w:hAnsi="Times New Roman" w:eastAsia="仿宋_GB2312" w:cs="Times New Roman"/>
          <w:sz w:val="32"/>
          <w:szCs w:val="32"/>
          <w14:ligatures w14:val="standardContextual"/>
        </w:rPr>
        <w:t>通过考察研学、基地实训、驻村实训、在线教学、互访学习等方式，促进学用贯通。</w:t>
      </w:r>
    </w:p>
    <w:p w14:paraId="08D6F7E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sz w:val="32"/>
          <w:szCs w:val="32"/>
          <w14:ligatures w14:val="standardContextual"/>
        </w:rPr>
      </w:pPr>
      <w:r>
        <w:rPr>
          <w:rFonts w:hint="eastAsia" w:ascii="Times New Roman" w:hAnsi="Times New Roman" w:eastAsia="楷体_GB2312" w:cs="Times New Roman"/>
          <w:b/>
          <w:bCs/>
          <w:sz w:val="32"/>
          <w:szCs w:val="32"/>
        </w:rPr>
        <w:t>2.智慧农业管理师</w:t>
      </w:r>
      <w:r>
        <w:rPr>
          <w:rFonts w:ascii="Times New Roman" w:hAnsi="Times New Roman" w:eastAsia="楷体_GB2312" w:cs="Times New Roman"/>
          <w:b/>
          <w:bCs/>
          <w:sz w:val="32"/>
          <w:szCs w:val="32"/>
        </w:rPr>
        <w:t>。</w:t>
      </w:r>
      <w:r>
        <w:rPr>
          <w:rFonts w:hint="eastAsia" w:ascii="Times New Roman" w:hAnsi="Times New Roman" w:eastAsia="仿宋_GB2312" w:cs="Times New Roman"/>
          <w:sz w:val="32"/>
          <w:szCs w:val="32"/>
          <w14:ligatures w14:val="standardContextual"/>
        </w:rPr>
        <w:t>该职业需要具备扎实的农业知识和信息技术技能。培训课程包括智慧农业基础知识、农业装备智能化技术、农业大数据的采集与分析应用、智慧农业装备常见故障排除、农作物病虫害智能化监测预报、主要作物生长环境调控等。</w:t>
      </w:r>
    </w:p>
    <w:p w14:paraId="4930C8EB">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（三）培育方式</w:t>
      </w:r>
    </w:p>
    <w:p w14:paraId="55AD31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14:ligatures w14:val="standardContextual"/>
        </w:rPr>
      </w:pPr>
      <w:r>
        <w:rPr>
          <w:rFonts w:hint="eastAsia" w:ascii="Times New Roman" w:hAnsi="Times New Roman" w:eastAsia="仿宋_GB2312" w:cs="Times New Roman"/>
          <w:sz w:val="32"/>
          <w:szCs w:val="32"/>
          <w14:ligatures w14:val="standardContextual"/>
        </w:rPr>
        <w:t>分析就业岗位应当具备的素质能力要求，以培育对象熟练掌握和运用相关知识技能为标准，选用适宜的培育场景。探索培育主体与用人主体联合培养等产教融合培育方式。</w:t>
      </w:r>
    </w:p>
    <w:p w14:paraId="6667917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sz w:val="32"/>
          <w:szCs w:val="32"/>
          <w14:ligatures w14:val="standardContextual"/>
        </w:rPr>
      </w:pPr>
      <w:r>
        <w:rPr>
          <w:rFonts w:hint="eastAsia" w:ascii="Times New Roman" w:hAnsi="Times New Roman" w:eastAsia="仿宋_GB2312" w:cs="Times New Roman"/>
          <w:b/>
          <w:bCs/>
          <w:sz w:val="32"/>
          <w:szCs w:val="32"/>
          <w14:ligatures w14:val="standardContextual"/>
        </w:rPr>
        <w:t>1.强化课堂教学。</w:t>
      </w:r>
      <w:r>
        <w:rPr>
          <w:rFonts w:hint="eastAsia" w:ascii="Times New Roman" w:hAnsi="Times New Roman" w:eastAsia="仿宋_GB2312" w:cs="Times New Roman"/>
          <w:sz w:val="32"/>
          <w:szCs w:val="32"/>
          <w14:ligatures w14:val="standardContextual"/>
        </w:rPr>
        <w:t>由实践经验丰富的领导、专家、企业精英等组成师资团队。实施参与式</w:t>
      </w:r>
      <w:r>
        <w:rPr>
          <w:rFonts w:ascii="Times New Roman" w:hAnsi="Times New Roman" w:eastAsia="仿宋_GB2312" w:cs="Times New Roman"/>
          <w:sz w:val="32"/>
          <w:szCs w:val="32"/>
          <w14:ligatures w14:val="standardContextual"/>
        </w:rPr>
        <w:t>、互动式、启发式培训，让学员充分参与到培训中，主动构建知识技能。</w:t>
      </w:r>
    </w:p>
    <w:p w14:paraId="322744F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sz w:val="32"/>
          <w:szCs w:val="32"/>
          <w14:ligatures w14:val="standardContextual"/>
        </w:rPr>
      </w:pPr>
      <w:r>
        <w:rPr>
          <w:rFonts w:ascii="Times New Roman" w:hAnsi="Times New Roman" w:eastAsia="仿宋_GB2312" w:cs="Times New Roman"/>
          <w:b/>
          <w:bCs/>
          <w:sz w:val="32"/>
          <w:szCs w:val="32"/>
          <w14:ligatures w14:val="standardContextual"/>
        </w:rPr>
        <w:t>2</w:t>
      </w:r>
      <w:r>
        <w:rPr>
          <w:rFonts w:hint="eastAsia" w:ascii="Times New Roman" w:hAnsi="Times New Roman" w:eastAsia="仿宋_GB2312" w:cs="Times New Roman"/>
          <w:b/>
          <w:bCs/>
          <w:sz w:val="32"/>
          <w:szCs w:val="32"/>
          <w14:ligatures w14:val="standardContextual"/>
        </w:rPr>
        <w:t>.突出实训实践</w:t>
      </w:r>
      <w:r>
        <w:rPr>
          <w:rFonts w:hint="eastAsia" w:ascii="Times New Roman" w:hAnsi="Times New Roman" w:eastAsia="仿宋_GB2312" w:cs="Times New Roman"/>
          <w:sz w:val="32"/>
          <w:szCs w:val="32"/>
          <w14:ligatures w14:val="standardContextual"/>
        </w:rPr>
        <w:t>。依托市内外重点地区优势企业，搭建能实战教学的培训场景，采取现场观摩、实训操作、顶岗实习、师傅带徒、导师指导等方式，促进学用贯通。</w:t>
      </w:r>
    </w:p>
    <w:p w14:paraId="57A17D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bCs/>
          <w:color w:val="FF0000"/>
          <w:sz w:val="32"/>
          <w:szCs w:val="32"/>
          <w14:ligatures w14:val="standardContextual"/>
        </w:rPr>
      </w:pPr>
      <w:r>
        <w:rPr>
          <w:rFonts w:hint="eastAsia" w:ascii="Times New Roman" w:hAnsi="Times New Roman" w:eastAsia="仿宋_GB2312" w:cs="Times New Roman"/>
          <w:b/>
          <w:bCs/>
          <w:sz w:val="32"/>
          <w:szCs w:val="32"/>
          <w14:ligatures w14:val="standardContextual"/>
        </w:rPr>
        <w:t>3.探索联合培养。</w:t>
      </w:r>
      <w:r>
        <w:rPr>
          <w:rFonts w:hint="eastAsia" w:ascii="Times New Roman" w:hAnsi="Times New Roman" w:eastAsia="仿宋_GB2312" w:cs="Times New Roman"/>
          <w:bCs/>
          <w:sz w:val="32"/>
          <w:szCs w:val="32"/>
          <w14:ligatures w14:val="standardContextual"/>
        </w:rPr>
        <w:t>摸清</w:t>
      </w:r>
      <w:r>
        <w:rPr>
          <w:rFonts w:ascii="Times New Roman" w:hAnsi="Times New Roman" w:eastAsia="仿宋_GB2312" w:cs="Times New Roman"/>
          <w:bCs/>
          <w:sz w:val="32"/>
          <w:szCs w:val="32"/>
          <w14:ligatures w14:val="standardContextual"/>
        </w:rPr>
        <w:t>乡村CEO、智慧农业管理师</w:t>
      </w:r>
      <w:r>
        <w:rPr>
          <w:rFonts w:hint="eastAsia" w:ascii="Times New Roman" w:hAnsi="Times New Roman" w:eastAsia="仿宋_GB2312" w:cs="Times New Roman"/>
          <w:bCs/>
          <w:sz w:val="32"/>
          <w:szCs w:val="32"/>
          <w14:ligatures w14:val="standardContextual"/>
        </w:rPr>
        <w:t>岗位</w:t>
      </w:r>
      <w:r>
        <w:rPr>
          <w:rFonts w:ascii="Times New Roman" w:hAnsi="Times New Roman" w:eastAsia="仿宋_GB2312" w:cs="Times New Roman"/>
          <w:bCs/>
          <w:sz w:val="32"/>
          <w:szCs w:val="32"/>
          <w14:ligatures w14:val="standardContextual"/>
        </w:rPr>
        <w:t>需求，</w:t>
      </w:r>
      <w:r>
        <w:rPr>
          <w:rFonts w:hint="eastAsia" w:ascii="Times New Roman" w:hAnsi="Times New Roman" w:eastAsia="仿宋_GB2312" w:cs="Times New Roman"/>
          <w:bCs/>
          <w:sz w:val="32"/>
          <w:szCs w:val="32"/>
          <w14:ligatures w14:val="standardContextual"/>
        </w:rPr>
        <w:t>由区农广校和</w:t>
      </w:r>
      <w:r>
        <w:rPr>
          <w:rFonts w:ascii="Times New Roman" w:hAnsi="Times New Roman" w:eastAsia="仿宋_GB2312" w:cs="Times New Roman"/>
          <w:bCs/>
          <w:sz w:val="32"/>
          <w:szCs w:val="32"/>
          <w14:ligatures w14:val="standardContextual"/>
        </w:rPr>
        <w:t>村集体经济组织以及强村公司</w:t>
      </w:r>
      <w:r>
        <w:rPr>
          <w:rFonts w:hint="eastAsia" w:ascii="Times New Roman" w:hAnsi="Times New Roman" w:eastAsia="仿宋_GB2312" w:cs="Times New Roman"/>
          <w:bCs/>
          <w:sz w:val="32"/>
          <w:szCs w:val="32"/>
          <w14:ligatures w14:val="standardContextual"/>
        </w:rPr>
        <w:t>、现代</w:t>
      </w:r>
      <w:r>
        <w:rPr>
          <w:rFonts w:ascii="Times New Roman" w:hAnsi="Times New Roman" w:eastAsia="仿宋_GB2312" w:cs="Times New Roman"/>
          <w:bCs/>
          <w:sz w:val="32"/>
          <w:szCs w:val="32"/>
          <w14:ligatures w14:val="standardContextual"/>
        </w:rPr>
        <w:t>农业企业</w:t>
      </w:r>
      <w:r>
        <w:rPr>
          <w:rFonts w:hint="eastAsia" w:ascii="Times New Roman" w:hAnsi="Times New Roman" w:eastAsia="仿宋_GB2312" w:cs="Times New Roman"/>
          <w:bCs/>
          <w:sz w:val="32"/>
          <w:szCs w:val="32"/>
          <w14:ligatures w14:val="standardContextual"/>
        </w:rPr>
        <w:t>签订联合培养协议。在课程开发、实训实践等方面进行合作，共同培养符合行业</w:t>
      </w:r>
      <w:r>
        <w:rPr>
          <w:rFonts w:ascii="Times New Roman" w:hAnsi="Times New Roman" w:eastAsia="仿宋_GB2312" w:cs="Times New Roman"/>
          <w:bCs/>
          <w:sz w:val="32"/>
          <w:szCs w:val="32"/>
          <w14:ligatures w14:val="standardContextual"/>
        </w:rPr>
        <w:t>和</w:t>
      </w:r>
      <w:r>
        <w:rPr>
          <w:rFonts w:hint="eastAsia" w:ascii="Times New Roman" w:hAnsi="Times New Roman" w:eastAsia="仿宋_GB2312" w:cs="Times New Roman"/>
          <w:bCs/>
          <w:sz w:val="32"/>
          <w:szCs w:val="32"/>
          <w14:ligatures w14:val="standardContextual"/>
        </w:rPr>
        <w:t>岗位需求的人才。</w:t>
      </w:r>
    </w:p>
    <w:p w14:paraId="2F4FB7C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sz w:val="32"/>
          <w:szCs w:val="32"/>
          <w14:ligatures w14:val="standardContextual"/>
        </w:rPr>
      </w:pPr>
      <w:r>
        <w:rPr>
          <w:rFonts w:ascii="Times New Roman" w:hAnsi="Times New Roman" w:eastAsia="仿宋_GB2312" w:cs="Times New Roman"/>
          <w:b/>
          <w:sz w:val="32"/>
          <w:szCs w:val="32"/>
          <w14:ligatures w14:val="standardContextual"/>
        </w:rPr>
        <w:t>4.</w:t>
      </w:r>
      <w:r>
        <w:rPr>
          <w:rFonts w:hint="eastAsia" w:ascii="Times New Roman" w:hAnsi="Times New Roman" w:eastAsia="仿宋_GB2312" w:cs="Times New Roman"/>
          <w:b/>
          <w:sz w:val="32"/>
          <w:szCs w:val="32"/>
          <w14:ligatures w14:val="standardContextual"/>
        </w:rPr>
        <w:t>评价培育</w:t>
      </w:r>
      <w:r>
        <w:rPr>
          <w:rFonts w:ascii="Times New Roman" w:hAnsi="Times New Roman" w:eastAsia="仿宋_GB2312" w:cs="Times New Roman"/>
          <w:b/>
          <w:sz w:val="32"/>
          <w:szCs w:val="32"/>
          <w14:ligatures w14:val="standardContextual"/>
        </w:rPr>
        <w:t>效果</w:t>
      </w:r>
      <w:r>
        <w:rPr>
          <w:rFonts w:hint="eastAsia" w:ascii="Times New Roman" w:hAnsi="Times New Roman" w:eastAsia="仿宋_GB2312" w:cs="Times New Roman"/>
          <w:b/>
          <w:sz w:val="32"/>
          <w:szCs w:val="32"/>
          <w14:ligatures w14:val="standardContextual"/>
        </w:rPr>
        <w:t>。</w:t>
      </w:r>
      <w:r>
        <w:rPr>
          <w:rFonts w:hint="eastAsia" w:ascii="Times New Roman" w:hAnsi="Times New Roman" w:eastAsia="仿宋_GB2312" w:cs="Times New Roman"/>
          <w:sz w:val="32"/>
          <w:szCs w:val="32"/>
          <w14:ligatures w14:val="standardContextual"/>
        </w:rPr>
        <w:t>通过过程评价、撰写企划书、结业答辩、技能比武等形式</w:t>
      </w:r>
      <w:r>
        <w:rPr>
          <w:rFonts w:ascii="Times New Roman" w:hAnsi="Times New Roman" w:eastAsia="仿宋_GB2312" w:cs="Times New Roman"/>
          <w:sz w:val="32"/>
          <w:szCs w:val="32"/>
          <w14:ligatures w14:val="standardContextual"/>
        </w:rPr>
        <w:t>，</w:t>
      </w:r>
      <w:r>
        <w:rPr>
          <w:rFonts w:hint="eastAsia" w:ascii="Times New Roman" w:hAnsi="Times New Roman" w:eastAsia="仿宋_GB2312" w:cs="Times New Roman"/>
          <w:sz w:val="32"/>
          <w:szCs w:val="32"/>
          <w14:ligatures w14:val="standardContextual"/>
        </w:rPr>
        <w:t>把控培育质量效果。</w:t>
      </w:r>
    </w:p>
    <w:p w14:paraId="356D564C">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（四）进度计划</w:t>
      </w:r>
    </w:p>
    <w:p w14:paraId="3EB9F2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14:ligatures w14:val="standardContextual"/>
        </w:rPr>
      </w:pPr>
      <w:r>
        <w:rPr>
          <w:rFonts w:hint="eastAsia" w:ascii="Times New Roman" w:hAnsi="Times New Roman" w:eastAsia="仿宋_GB2312" w:cs="Times New Roman"/>
          <w:sz w:val="32"/>
          <w:szCs w:val="32"/>
          <w14:ligatures w14:val="standardContextual"/>
        </w:rPr>
        <w:t>按照农业农村部“集中培训需在今年完成，贯通需于今年启动”的要求，计划8月完成培训筹备及招生，10月完成课堂教学，12月完成现场观摩学习，并启动顶岗实习，明年10月完成岗位锻炼、考核评价和项目评估总结。</w:t>
      </w:r>
    </w:p>
    <w:p w14:paraId="1E11FED4">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（五）经费支出</w:t>
      </w:r>
    </w:p>
    <w:p w14:paraId="263136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14:ligatures w14:val="standardContextual"/>
        </w:rPr>
      </w:pPr>
      <w:r>
        <w:rPr>
          <w:rFonts w:hint="eastAsia" w:ascii="Times New Roman" w:hAnsi="Times New Roman" w:eastAsia="仿宋_GB2312" w:cs="Times New Roman"/>
          <w:sz w:val="32"/>
          <w:szCs w:val="32"/>
          <w14:ligatures w14:val="standardContextual"/>
        </w:rPr>
        <w:t>项目</w:t>
      </w:r>
      <w:r>
        <w:rPr>
          <w:rFonts w:hint="eastAsia" w:ascii="Times New Roman" w:hAnsi="Times New Roman" w:eastAsia="仿宋_GB2312" w:cs="Times New Roman"/>
          <w:sz w:val="32"/>
          <w:szCs w:val="32"/>
          <w:lang w:eastAsia="zh-CN"/>
          <w14:ligatures w14:val="standardContextual"/>
        </w:rPr>
        <w:t>经费</w:t>
      </w:r>
      <w:r>
        <w:rPr>
          <w:rFonts w:hint="eastAsia" w:ascii="Times New Roman" w:hAnsi="Times New Roman" w:eastAsia="仿宋_GB2312" w:cs="Times New Roman"/>
          <w:sz w:val="32"/>
          <w:szCs w:val="32"/>
          <w14:ligatures w14:val="standardContextual"/>
        </w:rPr>
        <w:t>由中央财政资金保障</w:t>
      </w:r>
      <w:r>
        <w:rPr>
          <w:rFonts w:hint="eastAsia" w:ascii="Times New Roman" w:hAnsi="Times New Roman" w:eastAsia="仿宋_GB2312" w:cs="Times New Roman"/>
          <w:sz w:val="32"/>
          <w:szCs w:val="32"/>
          <w:lang w:eastAsia="zh-CN"/>
          <w14:ligatures w14:val="standardContextual"/>
        </w:rPr>
        <w:t>，参训人员免费培训。</w:t>
      </w:r>
    </w:p>
    <w:p w14:paraId="29F3DF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14:ligatures w14:val="standardContextual"/>
        </w:rPr>
      </w:pPr>
      <w:r>
        <w:rPr>
          <w:rFonts w:hint="eastAsia" w:ascii="Times New Roman" w:hAnsi="Times New Roman" w:eastAsia="黑体" w:cs="Times New Roman"/>
          <w:sz w:val="32"/>
          <w:szCs w:val="32"/>
          <w14:ligatures w14:val="standardContextual"/>
        </w:rPr>
        <w:t>四</w:t>
      </w:r>
      <w:r>
        <w:rPr>
          <w:rFonts w:ascii="Times New Roman" w:hAnsi="Times New Roman" w:eastAsia="黑体" w:cs="Times New Roman"/>
          <w:sz w:val="32"/>
          <w:szCs w:val="32"/>
          <w14:ligatures w14:val="standardContextual"/>
        </w:rPr>
        <w:t>、</w:t>
      </w:r>
      <w:r>
        <w:rPr>
          <w:rFonts w:hint="eastAsia" w:ascii="Times New Roman" w:hAnsi="Times New Roman" w:eastAsia="黑体" w:cs="Times New Roman"/>
          <w:sz w:val="32"/>
          <w:szCs w:val="32"/>
          <w14:ligatures w14:val="standardContextual"/>
        </w:rPr>
        <w:t>保障措施</w:t>
      </w:r>
    </w:p>
    <w:p w14:paraId="7E5649A9">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（一）加强组织领导</w:t>
      </w:r>
    </w:p>
    <w:p w14:paraId="467B80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14:ligatures w14:val="standardContextual"/>
        </w:rPr>
      </w:pPr>
      <w:r>
        <w:rPr>
          <w:rFonts w:hint="eastAsia" w:ascii="Times New Roman" w:hAnsi="Times New Roman" w:eastAsia="仿宋_GB2312" w:cs="Times New Roman"/>
          <w:sz w:val="32"/>
          <w:szCs w:val="32"/>
          <w14:ligatures w14:val="standardContextual"/>
        </w:rPr>
        <w:t>试点项目由区农业农村与区财政牵头组织，负责试点工作的安排部署、统筹指导、协调落实和督导检查，监督培育资金使用。区农广校负责试点项目的日常管理、质量跟踪、成果提炼、宣传推介等工作。争取组织、教育、科技、妇联、共青团等部门支持与协作</w:t>
      </w:r>
      <w:r>
        <w:rPr>
          <w:rFonts w:ascii="Times New Roman" w:hAnsi="Times New Roman" w:eastAsia="仿宋_GB2312" w:cs="Times New Roman"/>
          <w:sz w:val="32"/>
          <w:szCs w:val="32"/>
          <w14:ligatures w14:val="standardContextual"/>
        </w:rPr>
        <w:t>。</w:t>
      </w:r>
      <w:r>
        <w:rPr>
          <w:rFonts w:hint="eastAsia" w:ascii="Times New Roman" w:hAnsi="Times New Roman" w:eastAsia="仿宋_GB2312" w:cs="Times New Roman"/>
          <w:sz w:val="32"/>
          <w:szCs w:val="32"/>
          <w14:ligatures w14:val="standardContextual"/>
        </w:rPr>
        <w:t>整合农业农村系统资源，有序推进项目实施。</w:t>
      </w:r>
    </w:p>
    <w:p w14:paraId="176B84F4">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（二）</w:t>
      </w:r>
      <w:bookmarkStart w:id="1" w:name="_Hlk172102429"/>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加强政策支持</w:t>
      </w:r>
    </w:p>
    <w:p w14:paraId="470C6B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14:ligatures w14:val="standardContextual"/>
        </w:rPr>
      </w:pPr>
      <w:r>
        <w:rPr>
          <w:rFonts w:hint="eastAsia" w:ascii="Times New Roman" w:hAnsi="Times New Roman" w:eastAsia="仿宋_GB2312" w:cs="Times New Roman"/>
          <w:sz w:val="32"/>
          <w:szCs w:val="32"/>
          <w14:ligatures w14:val="standardContextual"/>
        </w:rPr>
        <w:t>争取配套资金和政策支持，高质高效完成试点项目，</w:t>
      </w:r>
      <w:r>
        <w:rPr>
          <w:rFonts w:hint="eastAsia" w:ascii="仿宋" w:hAnsi="仿宋" w:eastAsia="仿宋" w:cs="仿宋"/>
          <w:sz w:val="32"/>
          <w:szCs w:val="32"/>
        </w:rPr>
        <w:t>创新探索乡村人才培养新路径新模式</w:t>
      </w:r>
      <w:r>
        <w:rPr>
          <w:rFonts w:hint="eastAsia" w:ascii="Times New Roman" w:hAnsi="Times New Roman" w:eastAsia="仿宋_GB2312" w:cs="Times New Roman"/>
          <w:sz w:val="32"/>
          <w:szCs w:val="32"/>
          <w14:ligatures w14:val="standardContextual"/>
        </w:rPr>
        <w:t>。用足用好《浦东新区关于促进现代农业人才发展的实施意见》、《浦东新区关于建立健全农村集体经济经营管理人员激励机制的指导意见（试行）》等政策，探索出台配套政策，构建乡村CEO、智慧农业管理师等人才引进、培养、使用机制。</w:t>
      </w:r>
    </w:p>
    <w:p w14:paraId="10EFB337">
      <w:pPr>
        <w:keepNext w:val="0"/>
        <w:keepLines w:val="0"/>
        <w:pageBreakBefore w:val="0"/>
        <w:widowControl w:val="0"/>
        <w:numPr>
          <w:ilvl w:val="0"/>
          <w:numId w:val="0"/>
        </w:numPr>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left="640" w:leftChars="0" w:right="0" w:rightChars="0" w:firstLine="0" w:firstLineChars="0"/>
        <w:jc w:val="both"/>
        <w:textAlignment w:val="auto"/>
        <w:rPr>
          <w:rFonts w:hint="eastAsia" w:ascii="仿宋_GB2312" w:hAnsi="仿宋_GB2312" w:eastAsia="仿宋_GB2312" w:cs="仿宋_GB2312"/>
          <w:b/>
          <w:bCs/>
          <w:i w:val="0"/>
          <w:caps w:val="0"/>
          <w:color w:val="000000"/>
          <w:spacing w:val="0"/>
          <w:kern w:val="0"/>
          <w:sz w:val="32"/>
          <w:szCs w:val="32"/>
          <w:shd w:val="clear" w:fill="FFFFFF"/>
          <w:lang w:val="en-US" w:eastAsia="zh-CN" w:bidi="ar"/>
        </w:rPr>
      </w:pPr>
      <w:r>
        <w:rPr>
          <w:rFonts w:hint="eastAsia" w:ascii="仿宋_GB2312" w:hAnsi="仿宋_GB2312" w:eastAsia="仿宋_GB2312" w:cs="仿宋_GB2312"/>
          <w:b/>
          <w:bCs/>
          <w:i w:val="0"/>
          <w:caps w:val="0"/>
          <w:color w:val="000000"/>
          <w:spacing w:val="0"/>
          <w:kern w:val="0"/>
          <w:sz w:val="32"/>
          <w:szCs w:val="32"/>
          <w:shd w:val="clear" w:fill="FFFFFF"/>
          <w:lang w:val="en-US" w:eastAsia="zh-CN" w:bidi="ar"/>
        </w:rPr>
        <w:t>（三）加强宣传总结</w:t>
      </w:r>
    </w:p>
    <w:p w14:paraId="1221B7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14:ligatures w14:val="standardContextual"/>
        </w:rPr>
      </w:pPr>
      <w:r>
        <w:rPr>
          <w:rFonts w:hint="eastAsia" w:ascii="Times New Roman" w:hAnsi="Times New Roman" w:eastAsia="仿宋_GB2312" w:cs="Times New Roman"/>
          <w:sz w:val="32"/>
          <w:szCs w:val="32"/>
          <w14:ligatures w14:val="standardContextual"/>
        </w:rPr>
        <w:t>及时挖掘和宣传典型案例</w:t>
      </w:r>
      <w:bookmarkEnd w:id="1"/>
      <w:r>
        <w:rPr>
          <w:rFonts w:hint="eastAsia" w:ascii="Times New Roman" w:hAnsi="Times New Roman" w:eastAsia="仿宋_GB2312" w:cs="Times New Roman"/>
          <w:sz w:val="32"/>
          <w:szCs w:val="32"/>
          <w14:ligatures w14:val="standardContextual"/>
        </w:rPr>
        <w:t>、经验做法，总结形成可学习、可借鉴、可推广的培育模式。遴选推介优秀学员、优秀教师、优秀工作者。充分利用广播、电视、报刊等传统媒体以及公众号、短视频等新媒体平台，加大宣传力度，营造政府重视、部门支持、社会关注、农民满意的良好氛围。</w:t>
      </w:r>
    </w:p>
    <w:p w14:paraId="5746BD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kZWZiMTdlMDcxOWM0ZGZjODY2MzY0Mzk0OWI2ZWYifQ=="/>
  </w:docVars>
  <w:rsids>
    <w:rsidRoot w:val="69491151"/>
    <w:rsid w:val="69491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2024-11-01T07:21:00Z</dcterms:created>
  <dc:creator>Jane</dc:creator>
  <cp:lastModifiedBy>Jane</cp:lastModifiedBy>
  <dcterms:modified xsi:type="dcterms:W3CDTF">2024-11-01T07:21:46Z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8F59BF74A93E467A8D4BFEC9DDD47184_11</vt:lpwstr>
  </property>
</Properties>
</file>