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pacing w:before="0" w:beforeAutospacing="0" w:after="150" w:afterAutospacing="0"/>
        <w:ind w:left="0" w:right="0" w:firstLine="0"/>
        <w:jc w:val="center"/>
        <w:rPr>
          <w:rFonts w:hint="default" w:ascii="arial" w:hAnsi="arial" w:eastAsia="arial" w:cs="arial"/>
          <w:i w:val="0"/>
          <w:caps w:val="0"/>
          <w:color w:val="000000"/>
          <w:spacing w:val="0"/>
          <w:sz w:val="24"/>
          <w:szCs w:val="24"/>
        </w:rPr>
      </w:pPr>
      <w:r>
        <w:rPr>
          <w:rStyle w:val="5"/>
          <w:rFonts w:hint="default" w:ascii="arial" w:hAnsi="arial" w:eastAsia="arial" w:cs="arial"/>
          <w:b/>
          <w:i w:val="0"/>
          <w:caps w:val="0"/>
          <w:color w:val="000000"/>
          <w:spacing w:val="0"/>
          <w:sz w:val="24"/>
          <w:szCs w:val="24"/>
        </w:rPr>
        <w:t>附件3 上海市鼓励社会力量参与老年助餐服务工作指引</w:t>
      </w:r>
    </w:p>
    <w:p>
      <w:pPr>
        <w:pStyle w:val="2"/>
        <w:keepNext w:val="0"/>
        <w:keepLines w:val="0"/>
        <w:widowControl/>
        <w:suppressLineNumbers w:val="0"/>
        <w:spacing w:before="0" w:beforeAutospacing="0" w:after="150" w:afterAutospacing="0"/>
        <w:ind w:left="0" w:right="0" w:firstLine="0"/>
        <w:rPr>
          <w:rFonts w:hint="default" w:ascii="arial" w:hAnsi="arial" w:eastAsia="arial" w:cs="arial"/>
          <w:i w:val="0"/>
          <w:caps w:val="0"/>
          <w:color w:val="000000"/>
          <w:spacing w:val="0"/>
          <w:sz w:val="24"/>
          <w:szCs w:val="24"/>
        </w:rPr>
      </w:pPr>
      <w:r>
        <w:rPr>
          <w:rFonts w:hint="default" w:ascii="arial" w:hAnsi="arial" w:eastAsia="arial" w:cs="arial"/>
          <w:i w:val="0"/>
          <w:caps w:val="0"/>
          <w:color w:val="000000"/>
          <w:spacing w:val="0"/>
          <w:sz w:val="24"/>
          <w:szCs w:val="24"/>
        </w:rPr>
        <w:t>为进一步丰富老年助餐的供给主体，鼓励社会力量参与，提升本市老年助餐服务水平，更好地满足老年人高品质助餐服务需要，制定以下工作指引。</w:t>
      </w:r>
    </w:p>
    <w:p>
      <w:pPr>
        <w:pStyle w:val="2"/>
        <w:keepNext w:val="0"/>
        <w:keepLines w:val="0"/>
        <w:widowControl/>
        <w:suppressLineNumbers w:val="0"/>
        <w:spacing w:before="0" w:beforeAutospacing="0" w:after="150" w:afterAutospacing="0"/>
        <w:ind w:left="0" w:right="0" w:firstLine="0"/>
        <w:rPr>
          <w:rFonts w:hint="default" w:ascii="arial" w:hAnsi="arial" w:eastAsia="arial" w:cs="arial"/>
          <w:i w:val="0"/>
          <w:caps w:val="0"/>
          <w:color w:val="000000"/>
          <w:spacing w:val="0"/>
          <w:sz w:val="24"/>
          <w:szCs w:val="24"/>
        </w:rPr>
      </w:pPr>
      <w:r>
        <w:rPr>
          <w:rFonts w:hint="default" w:ascii="arial" w:hAnsi="arial" w:eastAsia="arial" w:cs="arial"/>
          <w:i w:val="0"/>
          <w:caps w:val="0"/>
          <w:color w:val="000000"/>
          <w:spacing w:val="0"/>
          <w:sz w:val="24"/>
          <w:szCs w:val="24"/>
        </w:rPr>
        <w:t>一、参与主体和形式</w:t>
      </w:r>
    </w:p>
    <w:p>
      <w:pPr>
        <w:pStyle w:val="2"/>
        <w:keepNext w:val="0"/>
        <w:keepLines w:val="0"/>
        <w:widowControl/>
        <w:suppressLineNumbers w:val="0"/>
        <w:spacing w:before="0" w:beforeAutospacing="0" w:after="150" w:afterAutospacing="0"/>
        <w:ind w:left="0" w:right="0" w:firstLine="0"/>
        <w:rPr>
          <w:rFonts w:hint="default" w:ascii="arial" w:hAnsi="arial" w:eastAsia="arial" w:cs="arial"/>
          <w:i w:val="0"/>
          <w:caps w:val="0"/>
          <w:color w:val="000000"/>
          <w:spacing w:val="0"/>
          <w:sz w:val="24"/>
          <w:szCs w:val="24"/>
        </w:rPr>
      </w:pPr>
      <w:r>
        <w:rPr>
          <w:rFonts w:hint="default" w:ascii="arial" w:hAnsi="arial" w:eastAsia="arial" w:cs="arial"/>
          <w:i w:val="0"/>
          <w:caps w:val="0"/>
          <w:color w:val="000000"/>
          <w:spacing w:val="0"/>
          <w:sz w:val="24"/>
          <w:szCs w:val="24"/>
        </w:rPr>
        <w:t>（一）根据法律法规，符合《上海市食品经营许可管理实施办法》有关条件，取得相应的《食品经营许可证》的供餐单位，可根据经营范围和各自特色申请参与老年助餐服务。</w:t>
      </w:r>
    </w:p>
    <w:p>
      <w:pPr>
        <w:pStyle w:val="2"/>
        <w:keepNext w:val="0"/>
        <w:keepLines w:val="0"/>
        <w:widowControl/>
        <w:suppressLineNumbers w:val="0"/>
        <w:spacing w:before="0" w:beforeAutospacing="0" w:after="150" w:afterAutospacing="0"/>
        <w:ind w:left="0" w:right="0" w:firstLine="0"/>
        <w:rPr>
          <w:rFonts w:hint="default" w:ascii="arial" w:hAnsi="arial" w:eastAsia="arial" w:cs="arial"/>
          <w:i w:val="0"/>
          <w:caps w:val="0"/>
          <w:color w:val="000000"/>
          <w:spacing w:val="0"/>
          <w:sz w:val="24"/>
          <w:szCs w:val="24"/>
        </w:rPr>
      </w:pPr>
      <w:r>
        <w:rPr>
          <w:rFonts w:hint="default" w:ascii="arial" w:hAnsi="arial" w:eastAsia="arial" w:cs="arial"/>
          <w:i w:val="0"/>
          <w:caps w:val="0"/>
          <w:color w:val="000000"/>
          <w:spacing w:val="0"/>
          <w:sz w:val="24"/>
          <w:szCs w:val="24"/>
        </w:rPr>
        <w:t>1.大中型饭店、集体用餐配送单位、机关企事业单位食堂等具备膳食加工能力的供餐单位，可提供老年助餐配送服务。</w:t>
      </w:r>
    </w:p>
    <w:p>
      <w:pPr>
        <w:pStyle w:val="2"/>
        <w:keepNext w:val="0"/>
        <w:keepLines w:val="0"/>
        <w:widowControl/>
        <w:suppressLineNumbers w:val="0"/>
        <w:spacing w:before="0" w:beforeAutospacing="0" w:after="150" w:afterAutospacing="0"/>
        <w:ind w:left="0" w:right="0" w:firstLine="0"/>
        <w:rPr>
          <w:rFonts w:hint="default" w:ascii="arial" w:hAnsi="arial" w:eastAsia="arial" w:cs="arial"/>
          <w:i w:val="0"/>
          <w:caps w:val="0"/>
          <w:color w:val="000000"/>
          <w:spacing w:val="0"/>
          <w:sz w:val="24"/>
          <w:szCs w:val="24"/>
        </w:rPr>
      </w:pPr>
      <w:r>
        <w:rPr>
          <w:rFonts w:hint="default" w:ascii="arial" w:hAnsi="arial" w:eastAsia="arial" w:cs="arial"/>
          <w:i w:val="0"/>
          <w:caps w:val="0"/>
          <w:color w:val="000000"/>
          <w:spacing w:val="0"/>
          <w:sz w:val="24"/>
          <w:szCs w:val="24"/>
        </w:rPr>
        <w:t>2.符合条件并经民政部门信息登记的社会餐饮企业可在服务场所设置“老年餐桌”，提供价格优惠、品种多样的老年餐，并在场所醒目位置挂摆明显标识及老年餐价格，方便老年人知晓。</w:t>
      </w:r>
    </w:p>
    <w:p>
      <w:pPr>
        <w:pStyle w:val="2"/>
        <w:keepNext w:val="0"/>
        <w:keepLines w:val="0"/>
        <w:widowControl/>
        <w:suppressLineNumbers w:val="0"/>
        <w:spacing w:before="0" w:beforeAutospacing="0" w:after="150" w:afterAutospacing="0"/>
        <w:ind w:left="0" w:right="0" w:firstLine="0"/>
        <w:rPr>
          <w:rFonts w:hint="default" w:ascii="arial" w:hAnsi="arial" w:eastAsia="arial" w:cs="arial"/>
          <w:i w:val="0"/>
          <w:caps w:val="0"/>
          <w:color w:val="000000"/>
          <w:spacing w:val="0"/>
          <w:sz w:val="24"/>
          <w:szCs w:val="24"/>
        </w:rPr>
      </w:pPr>
      <w:r>
        <w:rPr>
          <w:rFonts w:hint="default" w:ascii="arial" w:hAnsi="arial" w:eastAsia="arial" w:cs="arial"/>
          <w:i w:val="0"/>
          <w:caps w:val="0"/>
          <w:color w:val="000000"/>
          <w:spacing w:val="0"/>
          <w:sz w:val="24"/>
          <w:szCs w:val="24"/>
        </w:rPr>
        <w:t>3.养老机构特别是公办养老机构，在满足住院老年人就餐需求的前提下，向社区老年人开放，提供助餐服务。</w:t>
      </w:r>
    </w:p>
    <w:p>
      <w:pPr>
        <w:pStyle w:val="2"/>
        <w:keepNext w:val="0"/>
        <w:keepLines w:val="0"/>
        <w:widowControl/>
        <w:suppressLineNumbers w:val="0"/>
        <w:spacing w:before="0" w:beforeAutospacing="0" w:after="150" w:afterAutospacing="0"/>
        <w:ind w:left="0" w:right="0" w:firstLine="0"/>
        <w:rPr>
          <w:rFonts w:hint="default" w:ascii="arial" w:hAnsi="arial" w:eastAsia="arial" w:cs="arial"/>
          <w:i w:val="0"/>
          <w:caps w:val="0"/>
          <w:color w:val="000000"/>
          <w:spacing w:val="0"/>
          <w:sz w:val="24"/>
          <w:szCs w:val="24"/>
        </w:rPr>
      </w:pPr>
      <w:r>
        <w:rPr>
          <w:rFonts w:hint="default" w:ascii="arial" w:hAnsi="arial" w:eastAsia="arial" w:cs="arial"/>
          <w:i w:val="0"/>
          <w:caps w:val="0"/>
          <w:color w:val="000000"/>
          <w:spacing w:val="0"/>
          <w:sz w:val="24"/>
          <w:szCs w:val="24"/>
        </w:rPr>
        <w:t>4.依托中央厨房加工、在餐车加热供餐的“移动型”助餐车，可依据有关规定进社区提供助餐和送餐服务。</w:t>
      </w:r>
    </w:p>
    <w:p>
      <w:pPr>
        <w:pStyle w:val="2"/>
        <w:keepNext w:val="0"/>
        <w:keepLines w:val="0"/>
        <w:widowControl/>
        <w:suppressLineNumbers w:val="0"/>
        <w:spacing w:before="0" w:beforeAutospacing="0" w:after="150" w:afterAutospacing="0"/>
        <w:ind w:left="0" w:right="0" w:firstLine="0"/>
        <w:rPr>
          <w:rFonts w:hint="default" w:ascii="arial" w:hAnsi="arial" w:eastAsia="arial" w:cs="arial"/>
          <w:i w:val="0"/>
          <w:caps w:val="0"/>
          <w:color w:val="000000"/>
          <w:spacing w:val="0"/>
          <w:sz w:val="24"/>
          <w:szCs w:val="24"/>
        </w:rPr>
      </w:pPr>
      <w:r>
        <w:rPr>
          <w:rFonts w:hint="default" w:ascii="arial" w:hAnsi="arial" w:eastAsia="arial" w:cs="arial"/>
          <w:i w:val="0"/>
          <w:caps w:val="0"/>
          <w:color w:val="000000"/>
          <w:spacing w:val="0"/>
          <w:sz w:val="24"/>
          <w:szCs w:val="24"/>
        </w:rPr>
        <w:t>（二）鼓励互联网生活服务平台和市场化物流公司等，可利用其送餐网络为老年人提供送餐服务。鼓励各区、街镇通过政府购买服务方式，与“饿了么”、“美团点评”等网约送餐单位合作；各区可采用多个街镇集中采购的方式降低成本，街镇也可自行与相关企业合作。物流配送企业在兼顾成本的同时，可通过公益价格体现企业社会责任，提供送餐服务。</w:t>
      </w:r>
    </w:p>
    <w:p>
      <w:pPr>
        <w:pStyle w:val="2"/>
        <w:keepNext w:val="0"/>
        <w:keepLines w:val="0"/>
        <w:widowControl/>
        <w:suppressLineNumbers w:val="0"/>
        <w:spacing w:before="0" w:beforeAutospacing="0" w:after="150" w:afterAutospacing="0"/>
        <w:ind w:left="0" w:right="0" w:firstLine="0"/>
        <w:rPr>
          <w:rFonts w:hint="default" w:ascii="arial" w:hAnsi="arial" w:eastAsia="arial" w:cs="arial"/>
          <w:i w:val="0"/>
          <w:caps w:val="0"/>
          <w:color w:val="000000"/>
          <w:spacing w:val="0"/>
          <w:sz w:val="24"/>
          <w:szCs w:val="24"/>
        </w:rPr>
      </w:pPr>
      <w:r>
        <w:rPr>
          <w:rFonts w:hint="default" w:ascii="arial" w:hAnsi="arial" w:eastAsia="arial" w:cs="arial"/>
          <w:i w:val="0"/>
          <w:caps w:val="0"/>
          <w:color w:val="000000"/>
          <w:spacing w:val="0"/>
          <w:sz w:val="24"/>
          <w:szCs w:val="24"/>
        </w:rPr>
        <w:t>（三）鼓励小区物业、超市、便利店等，综合利用闲置资源或空余时间提供助餐服务。</w:t>
      </w:r>
    </w:p>
    <w:p>
      <w:pPr>
        <w:pStyle w:val="2"/>
        <w:keepNext w:val="0"/>
        <w:keepLines w:val="0"/>
        <w:widowControl/>
        <w:suppressLineNumbers w:val="0"/>
        <w:spacing w:before="0" w:beforeAutospacing="0" w:after="150" w:afterAutospacing="0"/>
        <w:ind w:left="0" w:right="0" w:firstLine="0"/>
        <w:rPr>
          <w:rFonts w:hint="default" w:ascii="arial" w:hAnsi="arial" w:eastAsia="arial" w:cs="arial"/>
          <w:i w:val="0"/>
          <w:caps w:val="0"/>
          <w:color w:val="000000"/>
          <w:spacing w:val="0"/>
          <w:sz w:val="24"/>
          <w:szCs w:val="24"/>
        </w:rPr>
      </w:pPr>
      <w:r>
        <w:rPr>
          <w:rFonts w:hint="default" w:ascii="arial" w:hAnsi="arial" w:eastAsia="arial" w:cs="arial"/>
          <w:i w:val="0"/>
          <w:caps w:val="0"/>
          <w:color w:val="000000"/>
          <w:spacing w:val="0"/>
          <w:sz w:val="24"/>
          <w:szCs w:val="24"/>
        </w:rPr>
        <w:t>二、工作环节</w:t>
      </w:r>
    </w:p>
    <w:p>
      <w:pPr>
        <w:pStyle w:val="2"/>
        <w:keepNext w:val="0"/>
        <w:keepLines w:val="0"/>
        <w:widowControl/>
        <w:suppressLineNumbers w:val="0"/>
        <w:spacing w:before="0" w:beforeAutospacing="0" w:after="150" w:afterAutospacing="0"/>
        <w:ind w:left="0" w:right="0" w:firstLine="0"/>
        <w:rPr>
          <w:rFonts w:hint="default" w:ascii="arial" w:hAnsi="arial" w:eastAsia="arial" w:cs="arial"/>
          <w:i w:val="0"/>
          <w:caps w:val="0"/>
          <w:color w:val="000000"/>
          <w:spacing w:val="0"/>
          <w:sz w:val="24"/>
          <w:szCs w:val="24"/>
        </w:rPr>
      </w:pPr>
      <w:r>
        <w:rPr>
          <w:rFonts w:hint="default" w:ascii="arial" w:hAnsi="arial" w:eastAsia="arial" w:cs="arial"/>
          <w:i w:val="0"/>
          <w:caps w:val="0"/>
          <w:color w:val="000000"/>
          <w:spacing w:val="0"/>
          <w:sz w:val="24"/>
          <w:szCs w:val="24"/>
        </w:rPr>
        <w:t>（一）对以上各类社会参与主体，其所在区和街镇要做好信息登记以及相关资质证明材料的收集工作，并签订相关协议。</w:t>
      </w:r>
    </w:p>
    <w:p>
      <w:pPr>
        <w:pStyle w:val="2"/>
        <w:keepNext w:val="0"/>
        <w:keepLines w:val="0"/>
        <w:widowControl/>
        <w:suppressLineNumbers w:val="0"/>
        <w:spacing w:before="0" w:beforeAutospacing="0" w:after="150" w:afterAutospacing="0"/>
        <w:ind w:left="0" w:right="0" w:firstLine="0"/>
        <w:rPr>
          <w:rFonts w:hint="default" w:ascii="arial" w:hAnsi="arial" w:eastAsia="arial" w:cs="arial"/>
          <w:i w:val="0"/>
          <w:caps w:val="0"/>
          <w:color w:val="000000"/>
          <w:spacing w:val="0"/>
          <w:sz w:val="24"/>
          <w:szCs w:val="24"/>
        </w:rPr>
      </w:pPr>
      <w:r>
        <w:rPr>
          <w:rFonts w:hint="default" w:ascii="arial" w:hAnsi="arial" w:eastAsia="arial" w:cs="arial"/>
          <w:i w:val="0"/>
          <w:caps w:val="0"/>
          <w:color w:val="000000"/>
          <w:spacing w:val="0"/>
          <w:sz w:val="24"/>
          <w:szCs w:val="24"/>
        </w:rPr>
        <w:t>（二）各区民政局对符合条件的参与主体汇总统计，定期报送市民政局主管部门。</w:t>
      </w:r>
    </w:p>
    <w:p>
      <w:pPr>
        <w:pStyle w:val="2"/>
        <w:keepNext w:val="0"/>
        <w:keepLines w:val="0"/>
        <w:widowControl/>
        <w:suppressLineNumbers w:val="0"/>
        <w:spacing w:before="0" w:beforeAutospacing="0" w:after="150" w:afterAutospacing="0"/>
        <w:ind w:left="0" w:right="0" w:firstLine="0"/>
        <w:rPr>
          <w:rFonts w:hint="default" w:ascii="arial" w:hAnsi="arial" w:eastAsia="arial" w:cs="arial"/>
          <w:i w:val="0"/>
          <w:caps w:val="0"/>
          <w:color w:val="000000"/>
          <w:spacing w:val="0"/>
          <w:sz w:val="24"/>
          <w:szCs w:val="24"/>
        </w:rPr>
      </w:pPr>
      <w:r>
        <w:rPr>
          <w:rFonts w:hint="default" w:ascii="arial" w:hAnsi="arial" w:eastAsia="arial" w:cs="arial"/>
          <w:i w:val="0"/>
          <w:caps w:val="0"/>
          <w:color w:val="000000"/>
          <w:spacing w:val="0"/>
          <w:sz w:val="24"/>
          <w:szCs w:val="24"/>
        </w:rPr>
        <w:t>（三）市、区民政部门通过上海市养老服务平台等载体，定期向社会公开助餐服务机构的相关信息，接受公众监督。</w:t>
      </w:r>
    </w:p>
    <w:p>
      <w:pPr>
        <w:pStyle w:val="2"/>
        <w:keepNext w:val="0"/>
        <w:keepLines w:val="0"/>
        <w:widowControl/>
        <w:suppressLineNumbers w:val="0"/>
        <w:spacing w:before="0" w:beforeAutospacing="0" w:after="150" w:afterAutospacing="0"/>
        <w:ind w:left="0" w:right="0" w:firstLine="0"/>
        <w:rPr>
          <w:rFonts w:hint="default" w:ascii="arial" w:hAnsi="arial" w:eastAsia="arial" w:cs="arial"/>
          <w:i w:val="0"/>
          <w:caps w:val="0"/>
          <w:color w:val="000000"/>
          <w:spacing w:val="0"/>
          <w:sz w:val="24"/>
          <w:szCs w:val="24"/>
        </w:rPr>
      </w:pPr>
      <w:r>
        <w:rPr>
          <w:rFonts w:hint="default" w:ascii="arial" w:hAnsi="arial" w:eastAsia="arial" w:cs="arial"/>
          <w:i w:val="0"/>
          <w:caps w:val="0"/>
          <w:color w:val="000000"/>
          <w:spacing w:val="0"/>
          <w:sz w:val="24"/>
          <w:szCs w:val="24"/>
        </w:rPr>
        <w:t>三、质量监控与管理</w:t>
      </w:r>
    </w:p>
    <w:p>
      <w:pPr>
        <w:pStyle w:val="2"/>
        <w:keepNext w:val="0"/>
        <w:keepLines w:val="0"/>
        <w:widowControl/>
        <w:suppressLineNumbers w:val="0"/>
        <w:spacing w:before="0" w:beforeAutospacing="0" w:after="150" w:afterAutospacing="0"/>
        <w:ind w:left="0" w:right="0" w:firstLine="0"/>
        <w:rPr>
          <w:rFonts w:hint="default" w:ascii="arial" w:hAnsi="arial" w:eastAsia="arial" w:cs="arial"/>
          <w:i w:val="0"/>
          <w:caps w:val="0"/>
          <w:color w:val="000000"/>
          <w:spacing w:val="0"/>
          <w:sz w:val="24"/>
          <w:szCs w:val="24"/>
        </w:rPr>
      </w:pPr>
      <w:r>
        <w:rPr>
          <w:rFonts w:hint="default" w:ascii="arial" w:hAnsi="arial" w:eastAsia="arial" w:cs="arial"/>
          <w:i w:val="0"/>
          <w:caps w:val="0"/>
          <w:color w:val="000000"/>
          <w:spacing w:val="0"/>
          <w:sz w:val="24"/>
          <w:szCs w:val="24"/>
        </w:rPr>
        <w:t>（一）鼓励老年助餐服务机构为老年人提供各种便捷服务，包括建立每周菜谱及价格公示制度，有条件的机构可开通电话订餐服务，开发APP等软件或小程序，方便老年人网络订餐。</w:t>
      </w:r>
    </w:p>
    <w:p>
      <w:pPr>
        <w:pStyle w:val="2"/>
        <w:keepNext w:val="0"/>
        <w:keepLines w:val="0"/>
        <w:widowControl/>
        <w:suppressLineNumbers w:val="0"/>
        <w:spacing w:before="0" w:beforeAutospacing="0" w:after="150" w:afterAutospacing="0"/>
        <w:ind w:left="0" w:right="0" w:firstLine="0"/>
        <w:rPr>
          <w:rFonts w:hint="default" w:ascii="arial" w:hAnsi="arial" w:eastAsia="arial" w:cs="arial"/>
          <w:i w:val="0"/>
          <w:caps w:val="0"/>
          <w:color w:val="000000"/>
          <w:spacing w:val="0"/>
          <w:sz w:val="24"/>
          <w:szCs w:val="24"/>
        </w:rPr>
      </w:pPr>
      <w:r>
        <w:rPr>
          <w:rFonts w:hint="default" w:ascii="arial" w:hAnsi="arial" w:eastAsia="arial" w:cs="arial"/>
          <w:i w:val="0"/>
          <w:caps w:val="0"/>
          <w:color w:val="000000"/>
          <w:spacing w:val="0"/>
          <w:sz w:val="24"/>
          <w:szCs w:val="24"/>
        </w:rPr>
        <w:t>（二）全市建立统一的老年助餐服务信息平台，以“上海市敬老卡”为主作为结算载体，对全市助餐服务机构提供的实际助餐情况进行统计、管理。以平台为依托实现网上信息录入、申请、确认、汇总、统计、分析等功能，方便社会主体参与。服务机构涉及地址等与老年人利益相关的事项发生变更时，所在街镇要及时更新信息。</w:t>
      </w:r>
    </w:p>
    <w:p>
      <w:pPr>
        <w:pStyle w:val="2"/>
        <w:keepNext w:val="0"/>
        <w:keepLines w:val="0"/>
        <w:widowControl/>
        <w:suppressLineNumbers w:val="0"/>
        <w:spacing w:before="0" w:beforeAutospacing="0" w:after="150" w:afterAutospacing="0"/>
        <w:ind w:left="0" w:right="0" w:firstLine="0"/>
        <w:rPr>
          <w:rFonts w:hint="default" w:ascii="arial" w:hAnsi="arial" w:eastAsia="arial" w:cs="arial"/>
          <w:i w:val="0"/>
          <w:caps w:val="0"/>
          <w:color w:val="000000"/>
          <w:spacing w:val="0"/>
          <w:sz w:val="24"/>
          <w:szCs w:val="24"/>
        </w:rPr>
      </w:pPr>
      <w:r>
        <w:rPr>
          <w:rFonts w:hint="default" w:ascii="arial" w:hAnsi="arial" w:eastAsia="arial" w:cs="arial"/>
          <w:i w:val="0"/>
          <w:caps w:val="0"/>
          <w:color w:val="000000"/>
          <w:spacing w:val="0"/>
          <w:sz w:val="24"/>
          <w:szCs w:val="24"/>
        </w:rPr>
        <w:t>（三）市、区民政部门定期组织第三方对全市老年助餐服务工作定期开展质量测评，遴选培育一批服务质量好，老年人满意度高的有资质、有规模的老年助餐服务品牌企业。</w:t>
      </w:r>
    </w:p>
    <w:p>
      <w:pPr>
        <w:pStyle w:val="2"/>
        <w:keepNext w:val="0"/>
        <w:keepLines w:val="0"/>
        <w:widowControl/>
        <w:suppressLineNumbers w:val="0"/>
        <w:spacing w:before="0" w:beforeAutospacing="0" w:after="150" w:afterAutospacing="0"/>
        <w:ind w:left="0" w:right="0" w:firstLine="0"/>
        <w:rPr>
          <w:rFonts w:hint="default" w:ascii="arial" w:hAnsi="arial" w:eastAsia="arial" w:cs="arial"/>
          <w:i w:val="0"/>
          <w:caps w:val="0"/>
          <w:color w:val="000000"/>
          <w:spacing w:val="0"/>
          <w:sz w:val="24"/>
          <w:szCs w:val="24"/>
        </w:rPr>
      </w:pPr>
      <w:r>
        <w:rPr>
          <w:rFonts w:hint="default" w:ascii="arial" w:hAnsi="arial" w:eastAsia="arial" w:cs="arial"/>
          <w:i w:val="0"/>
          <w:caps w:val="0"/>
          <w:color w:val="000000"/>
          <w:spacing w:val="0"/>
          <w:sz w:val="24"/>
          <w:szCs w:val="24"/>
        </w:rPr>
        <w:t>（四）鼓励各区、街镇通过奖励或补贴方式对供餐单位给予支持，各区、街镇可利用“老年助餐服务信息平台”的实际供餐数据，作为奖励或补贴的依据。</w:t>
      </w:r>
    </w:p>
    <w:p>
      <w:pPr>
        <w:pStyle w:val="2"/>
        <w:keepNext w:val="0"/>
        <w:keepLines w:val="0"/>
        <w:widowControl/>
        <w:suppressLineNumbers w:val="0"/>
        <w:spacing w:before="0" w:beforeAutospacing="0" w:after="150" w:afterAutospacing="0"/>
        <w:ind w:left="0" w:right="0" w:firstLine="0"/>
        <w:rPr>
          <w:rFonts w:hint="default" w:ascii="arial" w:hAnsi="arial" w:eastAsia="arial" w:cs="arial"/>
          <w:i w:val="0"/>
          <w:caps w:val="0"/>
          <w:color w:val="000000"/>
          <w:spacing w:val="0"/>
          <w:sz w:val="24"/>
          <w:szCs w:val="24"/>
        </w:rPr>
      </w:pPr>
      <w:r>
        <w:rPr>
          <w:rFonts w:hint="default" w:ascii="arial" w:hAnsi="arial" w:eastAsia="arial" w:cs="arial"/>
          <w:i w:val="0"/>
          <w:caps w:val="0"/>
          <w:color w:val="000000"/>
          <w:spacing w:val="0"/>
          <w:sz w:val="24"/>
          <w:szCs w:val="24"/>
        </w:rPr>
        <w:t>（五）市、区民政部门及街镇会同市场监督等部门，定期对登记在册的各类服务机构和助餐点开展食品安全检查，对不符合供餐及配送条件，经整改后仍不符合要求的，停止老年助餐服务，并根据《上海市食品经营许可管理实施办法》处理，确保向老年人提供安全的助餐服务。</w:t>
      </w:r>
    </w:p>
    <w:p/>
    <w:p>
      <w:bookmarkStart w:id="0" w:name="_GoBack"/>
      <w:bookmarkEnd w:id="0"/>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2000609000000000000"/>
    <w:charset w:val="02"/>
    <w:family w:val="roman"/>
    <w:pitch w:val="default"/>
    <w:sig w:usb0="800000AF" w:usb1="4000204A" w:usb2="00000000" w:usb3="00000000" w:csb0="20000000" w:csb1="00000000"/>
  </w:font>
  <w:font w:name="Calibri">
    <w:panose1 w:val="020F0502020204030204"/>
    <w:charset w:val="00"/>
    <w:family w:val="swiss"/>
    <w:pitch w:val="default"/>
    <w:sig w:usb0="A00002EF" w:usb1="4000207B" w:usb2="00000000" w:usb3="00000000" w:csb0="2000009F" w:csb1="00000000"/>
  </w:font>
  <w:font w:name="arial">
    <w:altName w:val="华文中宋"/>
    <w:panose1 w:val="00000000000000000000"/>
    <w:charset w:val="00"/>
    <w:family w:val="auto"/>
    <w:pitch w:val="default"/>
    <w:sig w:usb0="00000000" w:usb1="00000000" w:usb2="00000000" w:usb3="00000000" w:csb0="00040001" w:csb1="00000000"/>
  </w:font>
  <w:font w:name="华文中宋">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BDCF1FC0"/>
    <w:rsid w:val="BDCF1F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Office_11.8.2.9958_F1E327BC-269C-435d-A152-05C5408002CA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2023-04-20T16:04:00Z</dcterms:created>
  <dc:creator>liuling</dc:creator>
  <cp:lastModifiedBy>liuling</cp:lastModifiedBy>
  <dcterms:modified xsi:type="dcterms:W3CDTF">2023-04-20T16:05:56Z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ies>
</file>