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ind w:left="0" w:leftChars="0" w:firstLine="0" w:firstLineChars="0"/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附件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3</w:t>
      </w:r>
    </w:p>
    <w:p>
      <w:pPr>
        <w:pStyle w:val="9"/>
        <w:snapToGrid w:val="0"/>
        <w:spacing w:before="0" w:beforeAutospacing="0" w:after="0" w:afterAutospacing="0"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  <w:t>浦东新区农业产业化联合体综合监测考核评分表</w:t>
      </w:r>
    </w:p>
    <w:p>
      <w:pPr>
        <w:pStyle w:val="9"/>
        <w:snapToGrid w:val="0"/>
        <w:spacing w:before="0" w:beforeAutospacing="0" w:after="0" w:afterAutospacing="0" w:line="560" w:lineRule="exact"/>
        <w:ind w:left="-199" w:leftChars="-95" w:firstLine="198" w:firstLineChars="71"/>
        <w:jc w:val="left"/>
        <w:rPr>
          <w:rFonts w:hint="default" w:ascii="仿宋_GB2312" w:eastAsia="仿宋_GB2312"/>
          <w:color w:val="000000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color w:val="000000"/>
          <w:sz w:val="28"/>
          <w:szCs w:val="28"/>
          <w:lang w:val="en-US" w:eastAsia="zh-CN"/>
        </w:rPr>
        <w:t>联合体名称：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 xml:space="preserve">                           </w:t>
      </w:r>
    </w:p>
    <w:tbl>
      <w:tblPr>
        <w:tblStyle w:val="6"/>
        <w:tblW w:w="9717" w:type="dxa"/>
        <w:tblInd w:w="-4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6"/>
        <w:gridCol w:w="945"/>
        <w:gridCol w:w="6204"/>
        <w:gridCol w:w="948"/>
        <w:gridCol w:w="8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786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94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  <w:t>项目</w:t>
            </w:r>
          </w:p>
        </w:tc>
        <w:tc>
          <w:tcPr>
            <w:tcW w:w="6204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  <w:t>监测标准（分值）</w:t>
            </w:r>
          </w:p>
        </w:tc>
        <w:tc>
          <w:tcPr>
            <w:tcW w:w="948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  <w:t>得分</w:t>
            </w:r>
          </w:p>
        </w:tc>
        <w:tc>
          <w:tcPr>
            <w:tcW w:w="834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3" w:hRule="atLeast"/>
        </w:trPr>
        <w:tc>
          <w:tcPr>
            <w:tcW w:w="786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945" w:type="dxa"/>
            <w:vMerge w:val="restart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  <w:t>联合体</w:t>
            </w: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  <w:t>组成</w:t>
            </w: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  <w:t>（30分）</w:t>
            </w:r>
          </w:p>
        </w:tc>
        <w:tc>
          <w:tcPr>
            <w:tcW w:w="6204" w:type="dxa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  <w:t>成员单位至少有5个成员单位。联合体内各主体未被相关职能部门列入经营异常名录，未发生重大农产品安全质量问题和土地“非农化”等行为。（5分）</w:t>
            </w:r>
          </w:p>
        </w:tc>
        <w:tc>
          <w:tcPr>
            <w:tcW w:w="948" w:type="dxa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34" w:type="dxa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7" w:hRule="atLeast"/>
        </w:trPr>
        <w:tc>
          <w:tcPr>
            <w:tcW w:w="786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945" w:type="dxa"/>
            <w:vMerge w:val="continue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6204" w:type="dxa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  <w:t>联合体联合体有成员共同制定的联合体章程。有围绕主导产业的建设方案，需包括产业、要素、利益联接机制等内容（5分）</w:t>
            </w:r>
          </w:p>
        </w:tc>
        <w:tc>
          <w:tcPr>
            <w:tcW w:w="948" w:type="dxa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34" w:type="dxa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6" w:hRule="atLeast"/>
        </w:trPr>
        <w:tc>
          <w:tcPr>
            <w:tcW w:w="786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945" w:type="dxa"/>
            <w:vMerge w:val="continue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6204" w:type="dxa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  <w:t>基地规模。种植业：粮食种植规模在3000亩以上，设施蔬菜瓜果(不含园林水果)在500亩以上或露地蔬菜（水生）在1000亩以上；瓜果种植面积在2000亩以上；水产养殖业：规模养殖面积在500亩以上；其他类：种养结合的基地在1000亩以上；休闲生态农业基地500亩以上（10分）</w:t>
            </w:r>
          </w:p>
        </w:tc>
        <w:tc>
          <w:tcPr>
            <w:tcW w:w="948" w:type="dxa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34" w:type="dxa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6" w:hRule="atLeast"/>
        </w:trPr>
        <w:tc>
          <w:tcPr>
            <w:tcW w:w="786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945" w:type="dxa"/>
            <w:vMerge w:val="continue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6204" w:type="dxa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  <w:t>基础设施。牵头单位有良好的加工设施、生产设施，具备必要的厂房、仓储设施，农业生产或加工主要环节基本实现机械化（10分）</w:t>
            </w:r>
          </w:p>
        </w:tc>
        <w:tc>
          <w:tcPr>
            <w:tcW w:w="948" w:type="dxa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34" w:type="dxa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6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945" w:type="dxa"/>
            <w:vMerge w:val="restart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  <w:t>经营规范（40分）</w:t>
            </w:r>
          </w:p>
        </w:tc>
        <w:tc>
          <w:tcPr>
            <w:tcW w:w="6204" w:type="dxa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  <w:t>品牌创建。主要产品具有一定的市场知名度，食用农产品具备有效的绿色食品或有机农产品认证证书和注册商标，实现企业品牌共享共建（10分）</w:t>
            </w:r>
          </w:p>
        </w:tc>
        <w:tc>
          <w:tcPr>
            <w:tcW w:w="948" w:type="dxa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34" w:type="dxa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6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945" w:type="dxa"/>
            <w:vMerge w:val="continue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6204" w:type="dxa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  <w:t>生产标准化。联合体按照国家标准、行业标准、地方标准、企业标准和绿色生产要求进行标准化生产，符合农产品质量安全要求。牵头单位有生产、加工过程的生产记录档案（10分）</w:t>
            </w:r>
          </w:p>
        </w:tc>
        <w:tc>
          <w:tcPr>
            <w:tcW w:w="948" w:type="dxa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34" w:type="dxa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6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945" w:type="dxa"/>
            <w:vMerge w:val="continue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6204" w:type="dxa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  <w:t>服务全程化。统一供种、统一生产、统一技术、统一服务、统一收购、统一品牌“产加销”一体化经营方式（10分）</w:t>
            </w:r>
          </w:p>
        </w:tc>
        <w:tc>
          <w:tcPr>
            <w:tcW w:w="948" w:type="dxa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34" w:type="dxa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6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  <w:t>8</w:t>
            </w:r>
          </w:p>
        </w:tc>
        <w:tc>
          <w:tcPr>
            <w:tcW w:w="945" w:type="dxa"/>
            <w:vMerge w:val="continue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6204" w:type="dxa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  <w:t>财务规范化。设置会计账簿，编制会计报表，详细记录联合体成员单位之间采购销售账目。联合体成员大会会议记录、程序等齐全（10分）</w:t>
            </w:r>
          </w:p>
        </w:tc>
        <w:tc>
          <w:tcPr>
            <w:tcW w:w="948" w:type="dxa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34" w:type="dxa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6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  <w:t>9</w:t>
            </w:r>
          </w:p>
        </w:tc>
        <w:tc>
          <w:tcPr>
            <w:tcW w:w="945" w:type="dxa"/>
            <w:vMerge w:val="restart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  <w:t>带动效应（30分）</w:t>
            </w:r>
          </w:p>
        </w:tc>
        <w:tc>
          <w:tcPr>
            <w:tcW w:w="6204" w:type="dxa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  <w:t>经济效益明显。农产品生产型牵头单位年销售收入达到2000万元、休闲生态农业型联合体成员单位总销售额收入达到3000万元、加工型牵头单位年销售收入达到5000万元、流通型牵头单位年交易（经销）额达到5000万元（10分）</w:t>
            </w:r>
          </w:p>
        </w:tc>
        <w:tc>
          <w:tcPr>
            <w:tcW w:w="948" w:type="dxa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34" w:type="dxa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6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  <w:tc>
          <w:tcPr>
            <w:tcW w:w="945" w:type="dxa"/>
            <w:vMerge w:val="continue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6204" w:type="dxa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  <w:t>分配机制明确。牵头单位与成员单位之间严格按照联合体章程分红，利益共享。可分配盈余主要按照成员与牵头单位的交易量（额）比例返还，返还总额不低于可分配盈余的60%（10分）</w:t>
            </w:r>
          </w:p>
        </w:tc>
        <w:tc>
          <w:tcPr>
            <w:tcW w:w="948" w:type="dxa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34" w:type="dxa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6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  <w:t>111</w:t>
            </w:r>
          </w:p>
        </w:tc>
        <w:tc>
          <w:tcPr>
            <w:tcW w:w="945" w:type="dxa"/>
            <w:vMerge w:val="continue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6204" w:type="dxa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  <w:t>带动作用显著。带动农户农业经营收入高于同区域农户10%以上，或带动区域内村级集体经济组织增收或资产增值（10分）</w:t>
            </w:r>
          </w:p>
        </w:tc>
        <w:tc>
          <w:tcPr>
            <w:tcW w:w="948" w:type="dxa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34" w:type="dxa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7935" w:type="dxa"/>
            <w:gridSpan w:val="3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  <w:t>总得分</w:t>
            </w:r>
          </w:p>
        </w:tc>
        <w:tc>
          <w:tcPr>
            <w:tcW w:w="1782" w:type="dxa"/>
            <w:gridSpan w:val="2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textAlignment w:val="auto"/>
        <w:rPr>
          <w:rFonts w:hint="default" w:ascii="仿宋_GB2312" w:eastAsia="仿宋_GB2312"/>
          <w:color w:val="000000"/>
          <w:sz w:val="28"/>
          <w:szCs w:val="28"/>
          <w:vertAlign w:val="baseline"/>
          <w:lang w:val="en-US" w:eastAsia="zh-CN"/>
        </w:rPr>
      </w:pPr>
      <w:r>
        <w:rPr>
          <w:rFonts w:hint="eastAsia" w:ascii="仿宋_GB2312" w:eastAsia="仿宋_GB2312"/>
          <w:color w:val="000000"/>
          <w:sz w:val="28"/>
          <w:szCs w:val="28"/>
          <w:vertAlign w:val="baseline"/>
          <w:lang w:val="en-US" w:eastAsia="zh-CN"/>
        </w:rPr>
        <w:t>镇农业主管部门（章）：            监测组成员（签字）：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textAlignment w:val="auto"/>
        <w:rPr>
          <w:rFonts w:hint="default" w:ascii="仿宋_GB2312" w:eastAsia="仿宋_GB2312"/>
          <w:color w:val="000000"/>
          <w:sz w:val="28"/>
          <w:szCs w:val="28"/>
          <w:vertAlign w:val="baseline"/>
          <w:lang w:val="en-US" w:eastAsia="zh-CN"/>
        </w:rPr>
      </w:pPr>
    </w:p>
    <w:p>
      <w:pPr>
        <w:pStyle w:val="4"/>
        <w:ind w:left="0" w:leftChars="0" w:firstLine="0" w:firstLineChars="0"/>
        <w:jc w:val="left"/>
        <w:rPr>
          <w:rFonts w:hint="default" w:ascii="仿宋_GB2312" w:eastAsia="仿宋_GB2312"/>
          <w:color w:val="000000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color w:val="000000"/>
          <w:sz w:val="28"/>
          <w:szCs w:val="28"/>
          <w:vertAlign w:val="baseline"/>
          <w:lang w:val="en-US" w:eastAsia="zh-CN"/>
        </w:rPr>
        <w:t>联合体负责人（签字确认）：              监测</w:t>
      </w:r>
      <w:r>
        <w:rPr>
          <w:rFonts w:hint="eastAsia" w:ascii="仿宋_GB2312" w:eastAsia="仿宋_GB2312"/>
          <w:color w:val="000000"/>
          <w:sz w:val="28"/>
          <w:szCs w:val="28"/>
          <w:lang w:val="en-US" w:eastAsia="zh-CN"/>
        </w:rPr>
        <w:t>日期：   年  月 日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textAlignment w:val="auto"/>
        <w:rPr>
          <w:rFonts w:hint="default" w:ascii="仿宋_GB2312" w:eastAsia="仿宋_GB2312"/>
          <w:color w:val="000000"/>
          <w:sz w:val="28"/>
          <w:szCs w:val="28"/>
          <w:vertAlign w:val="baseline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textAlignment w:val="auto"/>
        <w:rPr>
          <w:rFonts w:hint="default" w:ascii="仿宋_GB2312" w:eastAsia="仿宋_GB2312"/>
          <w:color w:val="000000"/>
          <w:sz w:val="28"/>
          <w:szCs w:val="28"/>
          <w:vertAlign w:val="baseline"/>
          <w:lang w:val="en-US" w:eastAsia="zh-CN"/>
        </w:rPr>
      </w:pPr>
      <w:r>
        <w:rPr>
          <w:rFonts w:hint="default" w:ascii="仿宋_GB2312" w:eastAsia="仿宋_GB2312"/>
          <w:color w:val="000000"/>
          <w:sz w:val="28"/>
          <w:szCs w:val="28"/>
          <w:vertAlign w:val="baseline"/>
          <w:lang w:val="en-US" w:eastAsia="zh-CN"/>
        </w:rPr>
        <w:t>备注：</w:t>
      </w:r>
      <w:r>
        <w:rPr>
          <w:rFonts w:hint="eastAsia" w:ascii="仿宋_GB2312" w:eastAsia="仿宋_GB2312"/>
          <w:color w:val="000000"/>
          <w:sz w:val="28"/>
          <w:szCs w:val="28"/>
          <w:vertAlign w:val="baseline"/>
          <w:lang w:val="en-US" w:eastAsia="zh-CN"/>
        </w:rPr>
        <w:t>1、</w:t>
      </w:r>
      <w:r>
        <w:rPr>
          <w:rFonts w:hint="default" w:ascii="仿宋_GB2312" w:eastAsia="仿宋_GB2312"/>
          <w:color w:val="000000"/>
          <w:sz w:val="28"/>
          <w:szCs w:val="28"/>
          <w:vertAlign w:val="baseline"/>
          <w:lang w:val="en-US" w:eastAsia="zh-CN"/>
        </w:rPr>
        <w:t>得分80分</w:t>
      </w:r>
      <w:r>
        <w:rPr>
          <w:rFonts w:hint="eastAsia" w:ascii="仿宋_GB2312" w:eastAsia="仿宋_GB2312"/>
          <w:color w:val="000000"/>
          <w:sz w:val="28"/>
          <w:szCs w:val="28"/>
          <w:vertAlign w:val="baseline"/>
          <w:lang w:val="en-US" w:eastAsia="zh-CN"/>
        </w:rPr>
        <w:t>及</w:t>
      </w:r>
      <w:r>
        <w:rPr>
          <w:rFonts w:hint="default" w:ascii="仿宋_GB2312" w:eastAsia="仿宋_GB2312"/>
          <w:color w:val="000000"/>
          <w:sz w:val="28"/>
          <w:szCs w:val="28"/>
          <w:vertAlign w:val="baseline"/>
          <w:lang w:val="en-US" w:eastAsia="zh-CN"/>
        </w:rPr>
        <w:t>以上为合格。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840" w:firstLineChars="3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_GB2312" w:eastAsia="仿宋_GB2312"/>
          <w:color w:val="000000"/>
          <w:sz w:val="28"/>
          <w:szCs w:val="28"/>
          <w:vertAlign w:val="baseline"/>
          <w:lang w:val="en-US" w:eastAsia="zh-CN"/>
        </w:rPr>
        <w:t>2、监测所需提供材料：（1）联合体上年度成员大会会议记录复印件；（2）联合体成员大会决议、重大事项表决复印件；（3）联合体上年度资产负债表、盈余及盈余分配表、成员账户变动表、成员账户表；（4）经成员大会表决的盈余分配方案、盈余分配表复印件</w:t>
      </w:r>
    </w:p>
    <w:p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610" w:right="1576" w:bottom="1610" w:left="1576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</w:pPr>
    <w:r>
      <w:rPr>
        <w:rStyle w:val="8"/>
        <w:rFonts w:hint="eastAsia" w:ascii="宋体" w:hAnsi="宋体"/>
        <w:sz w:val="28"/>
        <w:szCs w:val="28"/>
      </w:rPr>
      <w:t xml:space="preserve">- </w:t>
    </w:r>
    <w:r>
      <w:rPr>
        <w:rFonts w:ascii="宋体" w:hAnsi="宋体"/>
        <w:sz w:val="28"/>
        <w:szCs w:val="28"/>
      </w:rPr>
      <w:fldChar w:fldCharType="begin"/>
    </w:r>
    <w:r>
      <w:rPr>
        <w:rStyle w:val="8"/>
        <w:rFonts w:ascii="宋体" w:hAnsi="宋体"/>
        <w:sz w:val="28"/>
        <w:szCs w:val="28"/>
      </w:rPr>
      <w:instrText xml:space="preserve"> PAGE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8"/>
        <w:rFonts w:ascii="宋体" w:hAnsi="宋体"/>
        <w:sz w:val="28"/>
        <w:szCs w:val="28"/>
      </w:rPr>
      <w:t>2</w:t>
    </w:r>
    <w:r>
      <w:rPr>
        <w:rFonts w:ascii="宋体" w:hAnsi="宋体"/>
        <w:sz w:val="28"/>
        <w:szCs w:val="28"/>
      </w:rPr>
      <w:fldChar w:fldCharType="end"/>
    </w:r>
    <w:r>
      <w:rPr>
        <w:rStyle w:val="8"/>
        <w:rFonts w:hint="eastAsia" w:ascii="宋体" w:hAnsi="宋体"/>
        <w:sz w:val="28"/>
        <w:szCs w:val="28"/>
      </w:rP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rStyle w:val="8"/>
        <w:rFonts w:hint="eastAsia" w:ascii="宋体" w:hAnsi="宋体"/>
        <w:sz w:val="28"/>
        <w:szCs w:val="28"/>
      </w:rPr>
      <w:t xml:space="preserve">- </w:t>
    </w:r>
    <w:r>
      <w:rPr>
        <w:rFonts w:ascii="宋体" w:hAnsi="宋体"/>
        <w:sz w:val="28"/>
        <w:szCs w:val="28"/>
      </w:rPr>
      <w:fldChar w:fldCharType="begin"/>
    </w:r>
    <w:r>
      <w:rPr>
        <w:rStyle w:val="8"/>
        <w:rFonts w:ascii="宋体" w:hAnsi="宋体"/>
        <w:sz w:val="28"/>
        <w:szCs w:val="28"/>
      </w:rPr>
      <w:instrText xml:space="preserve"> PAGE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8"/>
        <w:rFonts w:ascii="宋体" w:hAnsi="宋体"/>
        <w:sz w:val="28"/>
        <w:szCs w:val="28"/>
      </w:rPr>
      <w:t>2</w:t>
    </w:r>
    <w:r>
      <w:rPr>
        <w:rFonts w:ascii="宋体" w:hAnsi="宋体"/>
        <w:sz w:val="28"/>
        <w:szCs w:val="28"/>
      </w:rPr>
      <w:fldChar w:fldCharType="end"/>
    </w:r>
    <w:r>
      <w:rPr>
        <w:rStyle w:val="8"/>
        <w:rFonts w:hint="eastAsia" w:ascii="宋体" w:hAnsi="宋体"/>
        <w:sz w:val="28"/>
        <w:szCs w:val="28"/>
      </w:rPr>
      <w:t xml:space="preserve"> -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ZkZWZiMTdlMDcxOWM0ZGZjODY2MzY0Mzk0OWI2ZWYifQ=="/>
  </w:docVars>
  <w:rsids>
    <w:rsidRoot w:val="462B21F6"/>
    <w:rsid w:val="462B2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after="120"/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Body Text 2"/>
    <w:basedOn w:val="1"/>
    <w:next w:val="2"/>
    <w:qFormat/>
    <w:uiPriority w:val="0"/>
    <w:pPr>
      <w:widowControl w:val="0"/>
      <w:ind w:firstLine="184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qFormat/>
    <w:uiPriority w:val="0"/>
  </w:style>
  <w:style w:type="paragraph" w:customStyle="1" w:styleId="9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1047</Words>
  <Characters>1097</Characters>
  <Lines>0</Lines>
  <Paragraphs>0</Paragraphs>
  <TotalTime>0</TotalTime>
  <ScaleCrop>false</ScaleCrop>
  <LinksUpToDate>false</LinksUpToDate>
  <CharactersWithSpaces>1156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2023-04-17T07:31:00Z</dcterms:created>
  <dc:creator>不理不理左卫门</dc:creator>
  <cp:lastModifiedBy>不理不理左卫门</cp:lastModifiedBy>
  <dcterms:modified xsi:type="dcterms:W3CDTF">2023-04-17T07:31:39Z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A2698739D30F4FB887B82000C553F006_11</vt:lpwstr>
  </property>
</Properties>
</file>